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0BBAB0" w14:textId="77777777" w:rsidR="00417A60" w:rsidRPr="00056928" w:rsidRDefault="00417A60" w:rsidP="00113D0E">
      <w:pPr>
        <w:spacing w:line="240" w:lineRule="auto"/>
        <w:ind w:right="425"/>
        <w:jc w:val="both"/>
        <w:rPr>
          <w:rFonts w:ascii="Arial" w:eastAsia="Arial" w:hAnsi="Arial" w:cs="Arial"/>
          <w:b/>
          <w:sz w:val="28"/>
          <w:szCs w:val="28"/>
        </w:rPr>
      </w:pPr>
      <w:bookmarkStart w:id="0" w:name="_GoBack"/>
      <w:bookmarkEnd w:id="0"/>
      <w:r w:rsidRPr="00056928">
        <w:rPr>
          <w:rFonts w:ascii="Arial" w:eastAsia="Arial" w:hAnsi="Arial" w:cs="Arial"/>
          <w:b/>
          <w:sz w:val="28"/>
          <w:szCs w:val="28"/>
        </w:rPr>
        <w:t>HONORABLE CONGRESO DEL ESTADO DE YUCATÁN.</w:t>
      </w:r>
    </w:p>
    <w:p w14:paraId="2805BBE5" w14:textId="77777777" w:rsidR="00417A60" w:rsidRPr="00056928" w:rsidRDefault="00417A60" w:rsidP="00113D0E">
      <w:pPr>
        <w:spacing w:line="240" w:lineRule="auto"/>
        <w:ind w:right="425"/>
        <w:jc w:val="both"/>
        <w:rPr>
          <w:rFonts w:ascii="Arial" w:eastAsia="Arial" w:hAnsi="Arial" w:cs="Arial"/>
          <w:b/>
          <w:sz w:val="28"/>
          <w:szCs w:val="28"/>
        </w:rPr>
      </w:pPr>
      <w:r w:rsidRPr="00056928">
        <w:rPr>
          <w:rFonts w:ascii="Arial" w:eastAsia="Arial" w:hAnsi="Arial" w:cs="Arial"/>
          <w:b/>
          <w:sz w:val="28"/>
          <w:szCs w:val="28"/>
        </w:rPr>
        <w:t>P R E S E N T E.</w:t>
      </w:r>
      <w:r w:rsidRPr="00056928">
        <w:rPr>
          <w:rFonts w:ascii="Freestyle Script" w:hAnsi="Freestyle Script"/>
          <w:i/>
          <w:noProof/>
          <w:sz w:val="28"/>
        </w:rPr>
        <w:t xml:space="preserve"> </w:t>
      </w:r>
    </w:p>
    <w:p w14:paraId="2E38C1F6" w14:textId="77777777" w:rsidR="00417A60" w:rsidRDefault="00417A60" w:rsidP="00417A60">
      <w:pPr>
        <w:ind w:right="425" w:firstLine="720"/>
        <w:jc w:val="both"/>
        <w:rPr>
          <w:rFonts w:ascii="Arial" w:eastAsia="Arial" w:hAnsi="Arial" w:cs="Arial"/>
          <w:sz w:val="24"/>
          <w:szCs w:val="24"/>
        </w:rPr>
      </w:pPr>
    </w:p>
    <w:p w14:paraId="62EE32A2" w14:textId="3AD54700" w:rsidR="00417A60" w:rsidRDefault="008F3E41" w:rsidP="00113D0E">
      <w:pPr>
        <w:spacing w:line="240" w:lineRule="auto"/>
        <w:ind w:right="425" w:firstLine="720"/>
        <w:jc w:val="both"/>
        <w:rPr>
          <w:rFonts w:ascii="Arial" w:eastAsia="Arial" w:hAnsi="Arial" w:cs="Arial"/>
          <w:sz w:val="24"/>
          <w:szCs w:val="24"/>
        </w:rPr>
      </w:pPr>
      <w:r>
        <w:rPr>
          <w:rFonts w:ascii="Arial" w:eastAsia="Arial" w:hAnsi="Arial" w:cs="Arial"/>
          <w:sz w:val="24"/>
          <w:szCs w:val="24"/>
        </w:rPr>
        <w:t>Las suscritas Diputadas y los Diputados</w:t>
      </w:r>
      <w:r w:rsidR="00417A60" w:rsidRPr="00417A60">
        <w:rPr>
          <w:rFonts w:ascii="Arial" w:eastAsia="Arial" w:hAnsi="Arial" w:cs="Arial"/>
          <w:sz w:val="24"/>
          <w:szCs w:val="24"/>
        </w:rPr>
        <w:t xml:space="preserve"> de la </w:t>
      </w:r>
      <w:r w:rsidR="00113D0E">
        <w:rPr>
          <w:rFonts w:ascii="Arial" w:eastAsia="Arial" w:hAnsi="Arial" w:cs="Arial"/>
          <w:sz w:val="24"/>
          <w:szCs w:val="24"/>
        </w:rPr>
        <w:t>F</w:t>
      </w:r>
      <w:r w:rsidR="00417A60" w:rsidRPr="00417A60">
        <w:rPr>
          <w:rFonts w:ascii="Arial" w:eastAsia="Arial" w:hAnsi="Arial" w:cs="Arial"/>
          <w:sz w:val="24"/>
          <w:szCs w:val="24"/>
        </w:rPr>
        <w:t xml:space="preserve">racción </w:t>
      </w:r>
      <w:r w:rsidR="00113D0E">
        <w:rPr>
          <w:rFonts w:ascii="Arial" w:eastAsia="Arial" w:hAnsi="Arial" w:cs="Arial"/>
          <w:sz w:val="24"/>
          <w:szCs w:val="24"/>
        </w:rPr>
        <w:t>L</w:t>
      </w:r>
      <w:r w:rsidR="00417A60" w:rsidRPr="00417A60">
        <w:rPr>
          <w:rFonts w:ascii="Arial" w:eastAsia="Arial" w:hAnsi="Arial" w:cs="Arial"/>
          <w:sz w:val="24"/>
          <w:szCs w:val="24"/>
        </w:rPr>
        <w:t>egislativa del Partido Acción Nacional, integrantes de la Sexagésima Tercera Legislatura</w:t>
      </w:r>
      <w:r>
        <w:rPr>
          <w:rFonts w:ascii="Arial" w:eastAsia="Arial" w:hAnsi="Arial" w:cs="Arial"/>
          <w:sz w:val="24"/>
          <w:szCs w:val="24"/>
        </w:rPr>
        <w:t xml:space="preserve"> del Congreso del Estado de Yucatán</w:t>
      </w:r>
      <w:r w:rsidR="00417A60" w:rsidRPr="00417A60">
        <w:rPr>
          <w:rFonts w:ascii="Arial" w:eastAsia="Arial" w:hAnsi="Arial" w:cs="Arial"/>
          <w:sz w:val="24"/>
          <w:szCs w:val="24"/>
        </w:rPr>
        <w:t xml:space="preserve">, con fundamento en los artículos 35 fracción I, de la Constitución Política, 16 y 22 fracción VI, de la Ley de Gobierno del Poder Legislativo, 68 y 69 del Reglamento de la Ley de Gobierno del Poder Legislativo, todos del Estado de Yucatán, </w:t>
      </w:r>
      <w:r w:rsidR="00010847">
        <w:rPr>
          <w:rFonts w:ascii="Arial" w:eastAsia="Arial" w:hAnsi="Arial" w:cs="Arial"/>
          <w:sz w:val="24"/>
          <w:szCs w:val="24"/>
        </w:rPr>
        <w:t>nos permitimos</w:t>
      </w:r>
      <w:r w:rsidR="00417A60" w:rsidRPr="00417A60">
        <w:rPr>
          <w:rFonts w:ascii="Arial" w:eastAsia="Arial" w:hAnsi="Arial" w:cs="Arial"/>
          <w:sz w:val="24"/>
          <w:szCs w:val="24"/>
        </w:rPr>
        <w:t xml:space="preserve"> presentar ante esta </w:t>
      </w:r>
      <w:r w:rsidR="00010847">
        <w:rPr>
          <w:rFonts w:ascii="Arial" w:eastAsia="Arial" w:hAnsi="Arial" w:cs="Arial"/>
          <w:sz w:val="24"/>
          <w:szCs w:val="24"/>
        </w:rPr>
        <w:t>H</w:t>
      </w:r>
      <w:r w:rsidR="00417A60" w:rsidRPr="00417A60">
        <w:rPr>
          <w:rFonts w:ascii="Arial" w:eastAsia="Arial" w:hAnsi="Arial" w:cs="Arial"/>
          <w:sz w:val="24"/>
          <w:szCs w:val="24"/>
        </w:rPr>
        <w:t xml:space="preserve">onorable </w:t>
      </w:r>
      <w:r w:rsidR="00113D0E">
        <w:rPr>
          <w:rFonts w:ascii="Arial" w:eastAsia="Arial" w:hAnsi="Arial" w:cs="Arial"/>
          <w:sz w:val="24"/>
          <w:szCs w:val="24"/>
        </w:rPr>
        <w:t>Soberanía</w:t>
      </w:r>
      <w:r>
        <w:rPr>
          <w:rFonts w:ascii="Arial" w:eastAsia="Arial" w:hAnsi="Arial" w:cs="Arial"/>
          <w:sz w:val="24"/>
          <w:szCs w:val="24"/>
        </w:rPr>
        <w:t>,</w:t>
      </w:r>
      <w:r w:rsidR="00113D0E">
        <w:rPr>
          <w:rFonts w:ascii="Arial" w:eastAsia="Arial" w:hAnsi="Arial" w:cs="Arial"/>
          <w:sz w:val="24"/>
          <w:szCs w:val="24"/>
        </w:rPr>
        <w:t xml:space="preserve"> la siguiente</w:t>
      </w:r>
      <w:r w:rsidR="00417A60" w:rsidRPr="00417A60">
        <w:rPr>
          <w:rFonts w:ascii="Arial" w:eastAsia="Arial" w:hAnsi="Arial" w:cs="Arial"/>
          <w:sz w:val="24"/>
          <w:szCs w:val="24"/>
        </w:rPr>
        <w:t>:</w:t>
      </w:r>
    </w:p>
    <w:p w14:paraId="466F83DD" w14:textId="1685D76A" w:rsidR="00417A60" w:rsidRDefault="00417A60" w:rsidP="00113D0E">
      <w:pPr>
        <w:spacing w:line="240" w:lineRule="auto"/>
        <w:ind w:right="425" w:firstLine="720"/>
        <w:jc w:val="both"/>
        <w:rPr>
          <w:rFonts w:ascii="Arial" w:eastAsia="Arial" w:hAnsi="Arial" w:cs="Arial"/>
          <w:sz w:val="24"/>
          <w:szCs w:val="24"/>
        </w:rPr>
      </w:pPr>
      <w:r w:rsidRPr="00417A60">
        <w:rPr>
          <w:rFonts w:ascii="Arial" w:eastAsia="Arial" w:hAnsi="Arial" w:cs="Arial"/>
          <w:b/>
          <w:sz w:val="24"/>
          <w:szCs w:val="24"/>
        </w:rPr>
        <w:t>Iniciativa con proyecto de decreto por el que se reforma la Ley de Gobierno de los Municipios del Estado</w:t>
      </w:r>
      <w:r w:rsidR="00113D0E">
        <w:rPr>
          <w:rFonts w:ascii="Arial" w:eastAsia="Arial" w:hAnsi="Arial" w:cs="Arial"/>
          <w:b/>
          <w:sz w:val="24"/>
          <w:szCs w:val="24"/>
        </w:rPr>
        <w:t xml:space="preserve"> de Yucatán</w:t>
      </w:r>
      <w:r w:rsidRPr="00417A60">
        <w:rPr>
          <w:rFonts w:ascii="Arial" w:eastAsia="Arial" w:hAnsi="Arial" w:cs="Arial"/>
          <w:b/>
          <w:sz w:val="24"/>
          <w:szCs w:val="24"/>
        </w:rPr>
        <w:t>, en materia de Asesores Municipales</w:t>
      </w:r>
      <w:r w:rsidRPr="00417A60">
        <w:rPr>
          <w:rFonts w:ascii="Arial" w:eastAsia="Arial" w:hAnsi="Arial" w:cs="Arial"/>
          <w:sz w:val="24"/>
          <w:szCs w:val="24"/>
        </w:rPr>
        <w:t>,</w:t>
      </w:r>
      <w:r>
        <w:rPr>
          <w:rFonts w:ascii="Arial" w:eastAsia="Arial" w:hAnsi="Arial" w:cs="Arial"/>
          <w:sz w:val="24"/>
          <w:szCs w:val="24"/>
        </w:rPr>
        <w:t xml:space="preserve"> con base a la siguiente:</w:t>
      </w:r>
    </w:p>
    <w:p w14:paraId="5CEE7D09" w14:textId="77777777" w:rsidR="00113D0E" w:rsidRDefault="00113D0E" w:rsidP="00417A60">
      <w:pPr>
        <w:ind w:right="425"/>
        <w:jc w:val="center"/>
        <w:rPr>
          <w:rFonts w:ascii="Arial" w:eastAsia="Arial" w:hAnsi="Arial" w:cs="Arial"/>
          <w:b/>
          <w:sz w:val="24"/>
          <w:szCs w:val="24"/>
        </w:rPr>
      </w:pPr>
    </w:p>
    <w:p w14:paraId="1B4478D4" w14:textId="4CB46A92" w:rsidR="00417A60" w:rsidRDefault="00113D0E" w:rsidP="00417A60">
      <w:pPr>
        <w:ind w:right="425"/>
        <w:jc w:val="center"/>
        <w:rPr>
          <w:rFonts w:ascii="Arial" w:eastAsia="Arial" w:hAnsi="Arial" w:cs="Arial"/>
          <w:b/>
          <w:sz w:val="24"/>
          <w:szCs w:val="24"/>
        </w:rPr>
      </w:pPr>
      <w:r>
        <w:rPr>
          <w:rFonts w:ascii="Arial" w:eastAsia="Arial" w:hAnsi="Arial" w:cs="Arial"/>
          <w:b/>
          <w:sz w:val="24"/>
          <w:szCs w:val="24"/>
        </w:rPr>
        <w:t>EXPOSICIÓN DE MOTIVOS</w:t>
      </w:r>
      <w:r w:rsidR="00417A60" w:rsidRPr="00417A60">
        <w:rPr>
          <w:rFonts w:ascii="Arial" w:eastAsia="Arial" w:hAnsi="Arial" w:cs="Arial"/>
          <w:b/>
          <w:sz w:val="24"/>
          <w:szCs w:val="24"/>
        </w:rPr>
        <w:t xml:space="preserve"> </w:t>
      </w:r>
    </w:p>
    <w:p w14:paraId="00D3CCD9" w14:textId="7951619F" w:rsidR="00417A60" w:rsidRDefault="00417A60" w:rsidP="00113D0E">
      <w:pPr>
        <w:ind w:right="425" w:firstLine="720"/>
        <w:jc w:val="both"/>
        <w:rPr>
          <w:rFonts w:ascii="Arial" w:eastAsia="Arial" w:hAnsi="Arial" w:cs="Arial"/>
          <w:sz w:val="24"/>
          <w:szCs w:val="24"/>
        </w:rPr>
      </w:pPr>
      <w:r>
        <w:rPr>
          <w:rFonts w:ascii="Arial" w:eastAsia="Arial" w:hAnsi="Arial" w:cs="Arial"/>
          <w:sz w:val="24"/>
          <w:szCs w:val="24"/>
        </w:rPr>
        <w:t xml:space="preserve">El Congreso del Estado de Yucatán se ha distinguido por su trabajo vanguardista y dinámico en la modernización del marco jurídico estatal, principalmente, para garantizar la seguridad y la certeza normativa a la ciudadanía, así como para fortalecer a las instituciones </w:t>
      </w:r>
      <w:r w:rsidR="00113D0E">
        <w:rPr>
          <w:rFonts w:ascii="Arial" w:eastAsia="Arial" w:hAnsi="Arial" w:cs="Arial"/>
          <w:sz w:val="24"/>
          <w:szCs w:val="24"/>
        </w:rPr>
        <w:t xml:space="preserve">de todos los ámbitos </w:t>
      </w:r>
      <w:r>
        <w:rPr>
          <w:rFonts w:ascii="Arial" w:eastAsia="Arial" w:hAnsi="Arial" w:cs="Arial"/>
          <w:sz w:val="24"/>
          <w:szCs w:val="24"/>
        </w:rPr>
        <w:t>de la entidad.</w:t>
      </w:r>
    </w:p>
    <w:p w14:paraId="5291B12A" w14:textId="186C870E" w:rsidR="00417A60" w:rsidRDefault="00417A60" w:rsidP="00113D0E">
      <w:pPr>
        <w:ind w:right="425" w:firstLine="720"/>
        <w:jc w:val="both"/>
        <w:rPr>
          <w:rFonts w:ascii="Arial" w:eastAsia="Arial" w:hAnsi="Arial" w:cs="Arial"/>
          <w:sz w:val="24"/>
          <w:szCs w:val="24"/>
        </w:rPr>
      </w:pPr>
      <w:r>
        <w:rPr>
          <w:rFonts w:ascii="Arial" w:eastAsia="Arial" w:hAnsi="Arial" w:cs="Arial"/>
          <w:sz w:val="24"/>
          <w:szCs w:val="24"/>
        </w:rPr>
        <w:t>Con base a lo anterior, la Fracción Legislativa del Partido Acc</w:t>
      </w:r>
      <w:r w:rsidR="00113D0E">
        <w:rPr>
          <w:rFonts w:ascii="Arial" w:eastAsia="Arial" w:hAnsi="Arial" w:cs="Arial"/>
          <w:sz w:val="24"/>
          <w:szCs w:val="24"/>
        </w:rPr>
        <w:t>ión Nacional perteneciente a esta LXIII L</w:t>
      </w:r>
      <w:r>
        <w:rPr>
          <w:rFonts w:ascii="Arial" w:eastAsia="Arial" w:hAnsi="Arial" w:cs="Arial"/>
          <w:sz w:val="24"/>
          <w:szCs w:val="24"/>
        </w:rPr>
        <w:t xml:space="preserve">egislatura </w:t>
      </w:r>
      <w:r w:rsidR="00113D0E">
        <w:rPr>
          <w:rFonts w:ascii="Arial" w:eastAsia="Arial" w:hAnsi="Arial" w:cs="Arial"/>
          <w:sz w:val="24"/>
          <w:szCs w:val="24"/>
        </w:rPr>
        <w:t>Local,</w:t>
      </w:r>
      <w:r>
        <w:rPr>
          <w:rFonts w:ascii="Arial" w:eastAsia="Arial" w:hAnsi="Arial" w:cs="Arial"/>
          <w:sz w:val="24"/>
          <w:szCs w:val="24"/>
        </w:rPr>
        <w:t xml:space="preserve"> como parte de sus objetivos primordiales</w:t>
      </w:r>
      <w:r w:rsidR="00113D0E">
        <w:rPr>
          <w:rFonts w:ascii="Arial" w:eastAsia="Arial" w:hAnsi="Arial" w:cs="Arial"/>
          <w:sz w:val="24"/>
          <w:szCs w:val="24"/>
        </w:rPr>
        <w:t>,</w:t>
      </w:r>
      <w:r>
        <w:rPr>
          <w:rFonts w:ascii="Arial" w:eastAsia="Arial" w:hAnsi="Arial" w:cs="Arial"/>
          <w:sz w:val="24"/>
          <w:szCs w:val="24"/>
        </w:rPr>
        <w:t xml:space="preserve"> se ha propuesto fortalecer el ámbito municipal, como la mejor forma de asegurar condiciones de gobernabilidad y gobernanza.</w:t>
      </w:r>
    </w:p>
    <w:p w14:paraId="6573736C" w14:textId="4E8A06A8" w:rsidR="00C83F38" w:rsidRDefault="00417A60" w:rsidP="00113D0E">
      <w:pPr>
        <w:ind w:right="425" w:firstLine="720"/>
        <w:jc w:val="both"/>
        <w:rPr>
          <w:rFonts w:ascii="Arial" w:eastAsia="Arial" w:hAnsi="Arial" w:cs="Arial"/>
          <w:sz w:val="24"/>
          <w:szCs w:val="24"/>
        </w:rPr>
      </w:pPr>
      <w:r>
        <w:rPr>
          <w:rFonts w:ascii="Arial" w:eastAsia="Arial" w:hAnsi="Arial" w:cs="Arial"/>
          <w:sz w:val="24"/>
          <w:szCs w:val="24"/>
        </w:rPr>
        <w:t xml:space="preserve">En la temática, hay que recordar lo expresado en el artículo </w:t>
      </w:r>
      <w:r w:rsidR="00C83F38">
        <w:rPr>
          <w:rFonts w:ascii="Arial" w:eastAsia="Arial" w:hAnsi="Arial" w:cs="Arial"/>
          <w:sz w:val="24"/>
          <w:szCs w:val="24"/>
        </w:rPr>
        <w:t>115 de la Constitución Política de los Estados Unidos Mexicanos, como base de la organización política y administrativa de las instituciones en México, la cual es el municipio libre, el cual goza de autodeterminación y libertad para prestar los servicios públicos previstos en la Carta Magna y las constituciones locales.</w:t>
      </w:r>
    </w:p>
    <w:p w14:paraId="202E462E" w14:textId="733786D4" w:rsidR="00C83F38" w:rsidRDefault="00C83F38" w:rsidP="00113D0E">
      <w:pPr>
        <w:ind w:right="425" w:firstLine="720"/>
        <w:jc w:val="both"/>
        <w:rPr>
          <w:rFonts w:ascii="Arial" w:eastAsia="Arial" w:hAnsi="Arial" w:cs="Arial"/>
          <w:sz w:val="24"/>
          <w:szCs w:val="24"/>
        </w:rPr>
      </w:pPr>
      <w:r>
        <w:rPr>
          <w:rFonts w:ascii="Arial" w:eastAsia="Arial" w:hAnsi="Arial" w:cs="Arial"/>
          <w:sz w:val="24"/>
          <w:szCs w:val="24"/>
        </w:rPr>
        <w:t xml:space="preserve">Por lo que respecta al ámbito local, el artículo 76 de la Constitución Política del Estado de Yucatán, es la que replica el mandato de organización previsto en la referida Constitución General. </w:t>
      </w:r>
    </w:p>
    <w:p w14:paraId="4A6B8307" w14:textId="77777777" w:rsidR="006650EA" w:rsidRDefault="00C83F38" w:rsidP="00113D0E">
      <w:pPr>
        <w:ind w:right="425" w:firstLine="720"/>
        <w:jc w:val="both"/>
        <w:rPr>
          <w:rFonts w:ascii="Arial" w:eastAsia="Arial" w:hAnsi="Arial" w:cs="Arial"/>
          <w:sz w:val="24"/>
          <w:szCs w:val="24"/>
        </w:rPr>
      </w:pPr>
      <w:r>
        <w:rPr>
          <w:rFonts w:ascii="Arial" w:eastAsia="Arial" w:hAnsi="Arial" w:cs="Arial"/>
          <w:sz w:val="24"/>
          <w:szCs w:val="24"/>
        </w:rPr>
        <w:t xml:space="preserve">Como es de notarse, el ámbito municipal reviste una gran importancia dentro de la vida política y democrática del país y, por ende, necesita una especial atención para robustecer </w:t>
      </w:r>
      <w:r w:rsidR="006650EA">
        <w:rPr>
          <w:rFonts w:ascii="Arial" w:eastAsia="Arial" w:hAnsi="Arial" w:cs="Arial"/>
          <w:sz w:val="24"/>
          <w:szCs w:val="24"/>
        </w:rPr>
        <w:t>sus atribuciones.</w:t>
      </w:r>
    </w:p>
    <w:p w14:paraId="343C558C" w14:textId="03A56F30" w:rsidR="00C83F38" w:rsidRDefault="006650EA" w:rsidP="00113D0E">
      <w:pPr>
        <w:ind w:right="425" w:firstLine="720"/>
        <w:jc w:val="both"/>
        <w:rPr>
          <w:rFonts w:ascii="Arial" w:eastAsia="Arial" w:hAnsi="Arial" w:cs="Arial"/>
          <w:sz w:val="24"/>
          <w:szCs w:val="24"/>
        </w:rPr>
      </w:pPr>
      <w:r>
        <w:rPr>
          <w:rFonts w:ascii="Arial" w:eastAsia="Arial" w:hAnsi="Arial" w:cs="Arial"/>
          <w:sz w:val="24"/>
          <w:szCs w:val="24"/>
        </w:rPr>
        <w:lastRenderedPageBreak/>
        <w:t>Lo anterior nos permite asegurar que, en la medida que se promuevan cambios positivos a la legislación, habrán de notarse cambios en el actuar de las autoridades que cada tres años encabezan los gobiernos municipales.</w:t>
      </w:r>
    </w:p>
    <w:p w14:paraId="1F14BE3B" w14:textId="204ED149" w:rsidR="00C83F38" w:rsidRDefault="00C83F38" w:rsidP="00113D0E">
      <w:pPr>
        <w:ind w:right="425" w:firstLine="720"/>
        <w:jc w:val="both"/>
        <w:rPr>
          <w:rFonts w:ascii="Arial" w:eastAsia="Arial" w:hAnsi="Arial" w:cs="Arial"/>
          <w:sz w:val="24"/>
          <w:szCs w:val="24"/>
        </w:rPr>
      </w:pPr>
      <w:r>
        <w:rPr>
          <w:rFonts w:ascii="Arial" w:eastAsia="Arial" w:hAnsi="Arial" w:cs="Arial"/>
          <w:sz w:val="24"/>
          <w:szCs w:val="24"/>
        </w:rPr>
        <w:t xml:space="preserve">Atendiendo a ello, es necesario que las y los legisladores, hagamos una revisión integral de los principales aspectos que acontecen en la vida del municipio, a fin de implementar nuevas herramientas que, observando la autonomía municipal, ayuden a superar las problemáticas y abonen al cumplimiento de los objetivos de los ayuntamientos. </w:t>
      </w:r>
    </w:p>
    <w:p w14:paraId="359D02A1" w14:textId="21C27834" w:rsidR="00E662F1" w:rsidRDefault="00C83F38" w:rsidP="00113D0E">
      <w:pPr>
        <w:ind w:right="425" w:firstLine="720"/>
        <w:jc w:val="both"/>
        <w:rPr>
          <w:rFonts w:ascii="Arial" w:eastAsia="Arial" w:hAnsi="Arial" w:cs="Arial"/>
          <w:sz w:val="24"/>
          <w:szCs w:val="24"/>
        </w:rPr>
      </w:pPr>
      <w:r>
        <w:rPr>
          <w:rFonts w:ascii="Arial" w:eastAsia="Arial" w:hAnsi="Arial" w:cs="Arial"/>
          <w:sz w:val="24"/>
          <w:szCs w:val="24"/>
        </w:rPr>
        <w:t>B</w:t>
      </w:r>
      <w:r w:rsidR="006650EA">
        <w:rPr>
          <w:rFonts w:ascii="Arial" w:eastAsia="Arial" w:hAnsi="Arial" w:cs="Arial"/>
          <w:sz w:val="24"/>
          <w:szCs w:val="24"/>
        </w:rPr>
        <w:t xml:space="preserve">ajo este tenor, en los últimos días, la Comisión Permanente de Presupuesto, Patrimonio Estatal y Municipal del Congreso del Estado de Yucatán, tuvo en su conocimiento diversas iniciativas para modificar leyes de ingresos de algunos municipios; tales iniciativas proponían modificaciones a las leyes por </w:t>
      </w:r>
      <w:r w:rsidR="00E662F1">
        <w:rPr>
          <w:rFonts w:ascii="Arial" w:eastAsia="Arial" w:hAnsi="Arial" w:cs="Arial"/>
          <w:sz w:val="24"/>
          <w:szCs w:val="24"/>
        </w:rPr>
        <w:t>ingresos de varios rubros.</w:t>
      </w:r>
    </w:p>
    <w:p w14:paraId="244258A1" w14:textId="6B6EDB79" w:rsidR="00C83F38" w:rsidRDefault="006650EA" w:rsidP="00113D0E">
      <w:pPr>
        <w:ind w:right="425" w:firstLine="720"/>
        <w:jc w:val="both"/>
        <w:rPr>
          <w:rFonts w:ascii="Arial" w:eastAsia="Arial" w:hAnsi="Arial" w:cs="Arial"/>
          <w:sz w:val="24"/>
          <w:szCs w:val="24"/>
        </w:rPr>
      </w:pPr>
      <w:r>
        <w:rPr>
          <w:rFonts w:ascii="Arial" w:eastAsia="Arial" w:hAnsi="Arial" w:cs="Arial"/>
          <w:sz w:val="24"/>
          <w:szCs w:val="24"/>
        </w:rPr>
        <w:t>La presentación de las referidas iniciativas, si bien se encuentran dentro lo legalmente posible, no menos cierto es que nos hacen poner especial atención en la participación de personas externas que fungen como asesores contables, jurídicos y de diversas profesiones que prestan sus servicios a la autoridad mu</w:t>
      </w:r>
      <w:r w:rsidR="00E662F1">
        <w:rPr>
          <w:rFonts w:ascii="Arial" w:eastAsia="Arial" w:hAnsi="Arial" w:cs="Arial"/>
          <w:sz w:val="24"/>
          <w:szCs w:val="24"/>
        </w:rPr>
        <w:t>nicipal, quienes a pesar de realizar actividades sumamente importantes, su trabajo y responsabilidad no se haya prevista en la legislación.</w:t>
      </w:r>
    </w:p>
    <w:p w14:paraId="19AA1FDA" w14:textId="45FB0332" w:rsidR="00E662F1" w:rsidRDefault="00E662F1" w:rsidP="00113D0E">
      <w:pPr>
        <w:ind w:right="425" w:firstLine="720"/>
        <w:jc w:val="both"/>
        <w:rPr>
          <w:rFonts w:ascii="Arial" w:eastAsia="Arial" w:hAnsi="Arial" w:cs="Arial"/>
          <w:sz w:val="24"/>
          <w:szCs w:val="24"/>
        </w:rPr>
      </w:pPr>
      <w:r>
        <w:rPr>
          <w:rFonts w:ascii="Arial" w:eastAsia="Arial" w:hAnsi="Arial" w:cs="Arial"/>
          <w:sz w:val="24"/>
          <w:szCs w:val="24"/>
        </w:rPr>
        <w:t xml:space="preserve">En relación a lo anterior, en el análisis y estudio del citado órgano legislativo, se hicieron precisiones respecto a la importancia de que la autoridad municipal cuente con las garantías normativas de </w:t>
      </w:r>
      <w:r w:rsidR="00113D0E">
        <w:rPr>
          <w:rFonts w:ascii="Arial" w:eastAsia="Arial" w:hAnsi="Arial" w:cs="Arial"/>
          <w:sz w:val="24"/>
          <w:szCs w:val="24"/>
        </w:rPr>
        <w:t xml:space="preserve">que </w:t>
      </w:r>
      <w:r>
        <w:rPr>
          <w:rFonts w:ascii="Arial" w:eastAsia="Arial" w:hAnsi="Arial" w:cs="Arial"/>
          <w:sz w:val="24"/>
          <w:szCs w:val="24"/>
        </w:rPr>
        <w:t>aquellos profesionales externos que coadyuven con sus labores, asuman una responsabilidad clara y de acu</w:t>
      </w:r>
      <w:r w:rsidR="00113D0E">
        <w:rPr>
          <w:rFonts w:ascii="Arial" w:eastAsia="Arial" w:hAnsi="Arial" w:cs="Arial"/>
          <w:sz w:val="24"/>
          <w:szCs w:val="24"/>
        </w:rPr>
        <w:t>erdo a las actividades, tareas y obligaciones que realicen en términos de la ley.</w:t>
      </w:r>
    </w:p>
    <w:p w14:paraId="0A1495A0" w14:textId="77777777" w:rsidR="00E662F1" w:rsidRDefault="00E662F1" w:rsidP="00113D0E">
      <w:pPr>
        <w:ind w:right="425" w:firstLine="720"/>
        <w:jc w:val="both"/>
        <w:rPr>
          <w:rFonts w:ascii="Arial" w:eastAsia="Arial" w:hAnsi="Arial" w:cs="Arial"/>
          <w:sz w:val="24"/>
          <w:szCs w:val="24"/>
        </w:rPr>
      </w:pPr>
      <w:r>
        <w:rPr>
          <w:rFonts w:ascii="Arial" w:eastAsia="Arial" w:hAnsi="Arial" w:cs="Arial"/>
          <w:sz w:val="24"/>
          <w:szCs w:val="24"/>
        </w:rPr>
        <w:t>Dados los argumentos vertidos, los suscritos nos dimos a la tarea de hacer un amplio estudio y revisión de la normativa local en cita y, advertimos, que la Ley de Gobierno de los Municipios del Estado no cuenta con un apartado que refiera a las y los asesores municipales, lo cual es una práctica recurrente en la vida municipal.</w:t>
      </w:r>
    </w:p>
    <w:p w14:paraId="49B66BEE" w14:textId="1814D238" w:rsidR="00113D0E" w:rsidRDefault="00113D0E" w:rsidP="00113D0E">
      <w:pPr>
        <w:ind w:right="425" w:firstLine="720"/>
        <w:jc w:val="both"/>
        <w:rPr>
          <w:rFonts w:ascii="Arial" w:eastAsia="Arial" w:hAnsi="Arial" w:cs="Arial"/>
          <w:sz w:val="24"/>
          <w:szCs w:val="24"/>
        </w:rPr>
      </w:pPr>
      <w:r>
        <w:rPr>
          <w:rFonts w:ascii="Arial" w:eastAsia="Arial" w:hAnsi="Arial" w:cs="Arial"/>
          <w:sz w:val="24"/>
          <w:szCs w:val="24"/>
        </w:rPr>
        <w:t xml:space="preserve">A la fecha, es muy común que las administraciones municipales sufran perjuicios patrimoniales y administrativos por la falta de una reglamentación correcta que garantice esta esencial área de la administración pública municipal. </w:t>
      </w:r>
    </w:p>
    <w:p w14:paraId="292D7228" w14:textId="68E4B90D" w:rsidR="00E662F1" w:rsidRDefault="00E662F1" w:rsidP="00113D0E">
      <w:pPr>
        <w:ind w:right="425" w:firstLine="720"/>
        <w:jc w:val="both"/>
        <w:rPr>
          <w:rFonts w:ascii="Arial" w:eastAsia="Arial" w:hAnsi="Arial" w:cs="Arial"/>
          <w:sz w:val="24"/>
          <w:szCs w:val="24"/>
        </w:rPr>
      </w:pPr>
      <w:r>
        <w:rPr>
          <w:rFonts w:ascii="Arial" w:eastAsia="Arial" w:hAnsi="Arial" w:cs="Arial"/>
          <w:sz w:val="24"/>
          <w:szCs w:val="24"/>
        </w:rPr>
        <w:t xml:space="preserve">Atento a ello, es necesario que en el texto de la ley, se contemple lo necesario con el objetivo de imprimir certeza jurídica a la autoridad municipal, a fin de que dicha figura, es decir, de los “Asesores Municipales”, sea considerada </w:t>
      </w:r>
      <w:r>
        <w:rPr>
          <w:rFonts w:ascii="Arial" w:eastAsia="Arial" w:hAnsi="Arial" w:cs="Arial"/>
          <w:sz w:val="24"/>
          <w:szCs w:val="24"/>
        </w:rPr>
        <w:lastRenderedPageBreak/>
        <w:t>dentro del ordenamiento lo</w:t>
      </w:r>
      <w:r w:rsidR="00113D0E">
        <w:rPr>
          <w:rFonts w:ascii="Arial" w:eastAsia="Arial" w:hAnsi="Arial" w:cs="Arial"/>
          <w:sz w:val="24"/>
          <w:szCs w:val="24"/>
        </w:rPr>
        <w:t xml:space="preserve">cal mencionado, así como los requisitos para serlo, y de las obligaciones que habrá de realizar en sus actividades y tareas. </w:t>
      </w:r>
    </w:p>
    <w:p w14:paraId="22B0747A" w14:textId="66712D0E" w:rsidR="005B3E27" w:rsidRDefault="00537DE7" w:rsidP="00113D0E">
      <w:pPr>
        <w:ind w:right="425" w:firstLine="720"/>
        <w:jc w:val="both"/>
        <w:rPr>
          <w:rFonts w:ascii="Arial" w:eastAsia="Arial" w:hAnsi="Arial" w:cs="Arial"/>
          <w:sz w:val="24"/>
          <w:szCs w:val="24"/>
        </w:rPr>
      </w:pPr>
      <w:r>
        <w:rPr>
          <w:rFonts w:ascii="Arial" w:eastAsia="Arial" w:hAnsi="Arial" w:cs="Arial"/>
          <w:sz w:val="24"/>
          <w:szCs w:val="24"/>
        </w:rPr>
        <w:t xml:space="preserve">No menos importante es que, la reforma planteada, es respetuosa de la autonomía municipal y de </w:t>
      </w:r>
      <w:r w:rsidR="005B3E27">
        <w:rPr>
          <w:rFonts w:ascii="Arial" w:eastAsia="Arial" w:hAnsi="Arial" w:cs="Arial"/>
          <w:sz w:val="24"/>
          <w:szCs w:val="24"/>
        </w:rPr>
        <w:t xml:space="preserve">la </w:t>
      </w:r>
      <w:r>
        <w:rPr>
          <w:rFonts w:ascii="Arial" w:eastAsia="Arial" w:hAnsi="Arial" w:cs="Arial"/>
          <w:sz w:val="24"/>
          <w:szCs w:val="24"/>
        </w:rPr>
        <w:t xml:space="preserve">organización del municipio, pues se trata de establecer un marco normativo homogéneo, en relación a una figura </w:t>
      </w:r>
      <w:r w:rsidR="005B3E27">
        <w:rPr>
          <w:rFonts w:ascii="Arial" w:eastAsia="Arial" w:hAnsi="Arial" w:cs="Arial"/>
          <w:sz w:val="24"/>
          <w:szCs w:val="24"/>
        </w:rPr>
        <w:t xml:space="preserve">que tiene trascendencia en la vida política del ayuntamiento, y que en nada interfiere con las atribuciones administrativas y de gobierno constitucionalmente previstas. </w:t>
      </w:r>
    </w:p>
    <w:p w14:paraId="1EDA6FE5" w14:textId="60231DFC" w:rsidR="005B3E27" w:rsidRDefault="005B3E27" w:rsidP="00113D0E">
      <w:pPr>
        <w:ind w:right="425" w:firstLine="720"/>
        <w:jc w:val="both"/>
        <w:rPr>
          <w:rFonts w:ascii="Arial" w:eastAsia="Arial" w:hAnsi="Arial" w:cs="Arial"/>
          <w:sz w:val="24"/>
          <w:szCs w:val="24"/>
        </w:rPr>
      </w:pPr>
      <w:r>
        <w:rPr>
          <w:rFonts w:ascii="Arial" w:eastAsia="Arial" w:hAnsi="Arial" w:cs="Arial"/>
          <w:sz w:val="24"/>
          <w:szCs w:val="24"/>
        </w:rPr>
        <w:t xml:space="preserve">Es por </w:t>
      </w:r>
      <w:r w:rsidR="005E5BA4">
        <w:rPr>
          <w:rFonts w:ascii="Arial" w:eastAsia="Arial" w:hAnsi="Arial" w:cs="Arial"/>
          <w:sz w:val="24"/>
          <w:szCs w:val="24"/>
        </w:rPr>
        <w:t xml:space="preserve">ello </w:t>
      </w:r>
      <w:r>
        <w:rPr>
          <w:rFonts w:ascii="Arial" w:eastAsia="Arial" w:hAnsi="Arial" w:cs="Arial"/>
          <w:sz w:val="24"/>
          <w:szCs w:val="24"/>
        </w:rPr>
        <w:t>que</w:t>
      </w:r>
      <w:r w:rsidR="005E5BA4">
        <w:rPr>
          <w:rFonts w:ascii="Arial" w:eastAsia="Arial" w:hAnsi="Arial" w:cs="Arial"/>
          <w:sz w:val="24"/>
          <w:szCs w:val="24"/>
        </w:rPr>
        <w:t>,</w:t>
      </w:r>
      <w:r>
        <w:rPr>
          <w:rFonts w:ascii="Arial" w:eastAsia="Arial" w:hAnsi="Arial" w:cs="Arial"/>
          <w:sz w:val="24"/>
          <w:szCs w:val="24"/>
        </w:rPr>
        <w:t xml:space="preserve"> la modificación </w:t>
      </w:r>
      <w:r w:rsidR="005E5BA4">
        <w:rPr>
          <w:rFonts w:ascii="Arial" w:eastAsia="Arial" w:hAnsi="Arial" w:cs="Arial"/>
          <w:sz w:val="24"/>
          <w:szCs w:val="24"/>
        </w:rPr>
        <w:t xml:space="preserve">que se propone, es respetuosa de los criterios y postulados, tal como la </w:t>
      </w:r>
      <w:r>
        <w:rPr>
          <w:rFonts w:ascii="Arial" w:eastAsia="Arial" w:hAnsi="Arial" w:cs="Arial"/>
          <w:sz w:val="24"/>
          <w:szCs w:val="24"/>
        </w:rPr>
        <w:t xml:space="preserve"> jurisprudencia </w:t>
      </w:r>
      <w:r w:rsidR="005E5BA4">
        <w:rPr>
          <w:rFonts w:ascii="Arial" w:eastAsia="Arial" w:hAnsi="Arial" w:cs="Arial"/>
          <w:sz w:val="24"/>
          <w:szCs w:val="24"/>
        </w:rPr>
        <w:t xml:space="preserve">en materia constitucional </w:t>
      </w:r>
      <w:r>
        <w:rPr>
          <w:rFonts w:ascii="Arial" w:eastAsia="Arial" w:hAnsi="Arial" w:cs="Arial"/>
          <w:sz w:val="24"/>
          <w:szCs w:val="24"/>
        </w:rPr>
        <w:t>que se inserta a continuación</w:t>
      </w:r>
      <w:r w:rsidR="005E5BA4">
        <w:rPr>
          <w:rFonts w:ascii="Arial" w:eastAsia="Arial" w:hAnsi="Arial" w:cs="Arial"/>
          <w:sz w:val="24"/>
          <w:szCs w:val="24"/>
        </w:rPr>
        <w:t xml:space="preserve"> y que es compatible con la iniciativa</w:t>
      </w:r>
      <w:r>
        <w:rPr>
          <w:rFonts w:ascii="Arial" w:eastAsia="Arial" w:hAnsi="Arial" w:cs="Arial"/>
          <w:sz w:val="24"/>
          <w:szCs w:val="24"/>
        </w:rPr>
        <w:t>:</w:t>
      </w:r>
    </w:p>
    <w:p w14:paraId="3D02F177" w14:textId="77777777" w:rsidR="005B3E27" w:rsidRPr="00722931" w:rsidRDefault="005B3E27" w:rsidP="005B3E27">
      <w:pPr>
        <w:spacing w:after="0" w:line="240" w:lineRule="auto"/>
        <w:ind w:right="333"/>
        <w:jc w:val="both"/>
        <w:rPr>
          <w:rFonts w:ascii="Arial" w:hAnsi="Arial" w:cs="Arial"/>
          <w:b/>
          <w:sz w:val="20"/>
          <w:szCs w:val="20"/>
        </w:rPr>
      </w:pPr>
      <w:r w:rsidRPr="00722931">
        <w:rPr>
          <w:rFonts w:ascii="Arial" w:hAnsi="Arial" w:cs="Arial"/>
          <w:b/>
          <w:sz w:val="20"/>
          <w:szCs w:val="20"/>
        </w:rPr>
        <w:t>Registro digital: 160764</w:t>
      </w:r>
    </w:p>
    <w:p w14:paraId="34F649B5" w14:textId="77777777" w:rsidR="005B3E27" w:rsidRPr="00722931" w:rsidRDefault="005B3E27" w:rsidP="005B3E27">
      <w:pPr>
        <w:spacing w:after="0" w:line="240" w:lineRule="auto"/>
        <w:ind w:right="333"/>
        <w:jc w:val="both"/>
        <w:rPr>
          <w:rFonts w:ascii="Arial" w:hAnsi="Arial" w:cs="Arial"/>
          <w:b/>
          <w:sz w:val="20"/>
          <w:szCs w:val="20"/>
        </w:rPr>
      </w:pPr>
      <w:r w:rsidRPr="00722931">
        <w:rPr>
          <w:rFonts w:ascii="Arial" w:hAnsi="Arial" w:cs="Arial"/>
          <w:b/>
          <w:sz w:val="20"/>
          <w:szCs w:val="20"/>
        </w:rPr>
        <w:t>Instancia: Pleno</w:t>
      </w:r>
    </w:p>
    <w:p w14:paraId="677678AC" w14:textId="77777777" w:rsidR="005B3E27" w:rsidRPr="00722931" w:rsidRDefault="005B3E27" w:rsidP="005B3E27">
      <w:pPr>
        <w:spacing w:after="0" w:line="240" w:lineRule="auto"/>
        <w:ind w:right="333"/>
        <w:jc w:val="both"/>
        <w:rPr>
          <w:rFonts w:ascii="Arial" w:hAnsi="Arial" w:cs="Arial"/>
          <w:b/>
          <w:sz w:val="20"/>
          <w:szCs w:val="20"/>
        </w:rPr>
      </w:pPr>
      <w:r w:rsidRPr="00722931">
        <w:rPr>
          <w:rFonts w:ascii="Arial" w:hAnsi="Arial" w:cs="Arial"/>
          <w:b/>
          <w:sz w:val="20"/>
          <w:szCs w:val="20"/>
        </w:rPr>
        <w:t>Décima Época</w:t>
      </w:r>
    </w:p>
    <w:p w14:paraId="4700491B" w14:textId="77777777" w:rsidR="005B3E27" w:rsidRPr="00722931" w:rsidRDefault="005B3E27" w:rsidP="005B3E27">
      <w:pPr>
        <w:spacing w:after="0" w:line="240" w:lineRule="auto"/>
        <w:ind w:right="333"/>
        <w:jc w:val="both"/>
        <w:rPr>
          <w:rFonts w:ascii="Arial" w:hAnsi="Arial" w:cs="Arial"/>
          <w:b/>
          <w:sz w:val="20"/>
          <w:szCs w:val="20"/>
        </w:rPr>
      </w:pPr>
      <w:r w:rsidRPr="00722931">
        <w:rPr>
          <w:rFonts w:ascii="Arial" w:hAnsi="Arial" w:cs="Arial"/>
          <w:b/>
          <w:sz w:val="20"/>
          <w:szCs w:val="20"/>
        </w:rPr>
        <w:t>Materias(s): Constitucional</w:t>
      </w:r>
    </w:p>
    <w:p w14:paraId="71017CDA" w14:textId="77777777" w:rsidR="005B3E27" w:rsidRPr="00722931" w:rsidRDefault="005B3E27" w:rsidP="005B3E27">
      <w:pPr>
        <w:spacing w:after="0" w:line="240" w:lineRule="auto"/>
        <w:ind w:right="333"/>
        <w:jc w:val="both"/>
        <w:rPr>
          <w:rFonts w:ascii="Arial" w:hAnsi="Arial" w:cs="Arial"/>
          <w:b/>
          <w:sz w:val="20"/>
          <w:szCs w:val="20"/>
        </w:rPr>
      </w:pPr>
      <w:r w:rsidRPr="00722931">
        <w:rPr>
          <w:rFonts w:ascii="Arial" w:hAnsi="Arial" w:cs="Arial"/>
          <w:b/>
          <w:sz w:val="20"/>
          <w:szCs w:val="20"/>
        </w:rPr>
        <w:t xml:space="preserve">Tesis: P./J. 45/2011 (9a.) </w:t>
      </w:r>
    </w:p>
    <w:p w14:paraId="611FB48C" w14:textId="77777777" w:rsidR="005B3E27" w:rsidRPr="00722931" w:rsidRDefault="005B3E27" w:rsidP="005B3E27">
      <w:pPr>
        <w:spacing w:after="0" w:line="240" w:lineRule="auto"/>
        <w:ind w:right="333"/>
        <w:jc w:val="both"/>
        <w:rPr>
          <w:rFonts w:ascii="Arial" w:hAnsi="Arial" w:cs="Arial"/>
          <w:b/>
          <w:sz w:val="20"/>
          <w:szCs w:val="20"/>
        </w:rPr>
      </w:pPr>
      <w:r w:rsidRPr="00722931">
        <w:rPr>
          <w:rFonts w:ascii="Arial" w:hAnsi="Arial" w:cs="Arial"/>
          <w:b/>
          <w:sz w:val="20"/>
          <w:szCs w:val="20"/>
        </w:rPr>
        <w:t>Fuente: Semanario Judicial de la Federación y su Gaceta. Libro I, Octubre de 2011, Tomo 1, página 302</w:t>
      </w:r>
    </w:p>
    <w:p w14:paraId="185E5AB8" w14:textId="77777777" w:rsidR="005B3E27" w:rsidRPr="00722931" w:rsidRDefault="005B3E27" w:rsidP="005B3E27">
      <w:pPr>
        <w:spacing w:after="0" w:line="240" w:lineRule="auto"/>
        <w:ind w:right="333"/>
        <w:jc w:val="both"/>
        <w:rPr>
          <w:rFonts w:ascii="Arial" w:hAnsi="Arial" w:cs="Arial"/>
          <w:b/>
          <w:sz w:val="20"/>
          <w:szCs w:val="20"/>
        </w:rPr>
      </w:pPr>
      <w:r w:rsidRPr="00722931">
        <w:rPr>
          <w:rFonts w:ascii="Arial" w:hAnsi="Arial" w:cs="Arial"/>
          <w:b/>
          <w:sz w:val="20"/>
          <w:szCs w:val="20"/>
        </w:rPr>
        <w:t>Tipo: Jurisprudencia</w:t>
      </w:r>
    </w:p>
    <w:p w14:paraId="76CB01FB" w14:textId="77777777" w:rsidR="005B3E27" w:rsidRPr="00722931" w:rsidRDefault="005B3E27" w:rsidP="005B3E27">
      <w:pPr>
        <w:spacing w:line="360" w:lineRule="auto"/>
        <w:ind w:right="425" w:firstLine="720"/>
        <w:jc w:val="both"/>
        <w:rPr>
          <w:rFonts w:ascii="Arial" w:eastAsia="Arial" w:hAnsi="Arial" w:cs="Arial"/>
          <w:sz w:val="20"/>
          <w:szCs w:val="20"/>
        </w:rPr>
      </w:pPr>
    </w:p>
    <w:p w14:paraId="651802C7" w14:textId="77777777" w:rsidR="005B3E27" w:rsidRPr="00722931" w:rsidRDefault="005B3E27" w:rsidP="005B3E27">
      <w:pPr>
        <w:spacing w:line="360" w:lineRule="auto"/>
        <w:ind w:right="425" w:firstLine="720"/>
        <w:jc w:val="both"/>
        <w:rPr>
          <w:rFonts w:ascii="Arial" w:eastAsia="Arial" w:hAnsi="Arial" w:cs="Arial"/>
          <w:b/>
          <w:sz w:val="20"/>
          <w:szCs w:val="20"/>
        </w:rPr>
      </w:pPr>
      <w:r w:rsidRPr="00722931">
        <w:rPr>
          <w:rFonts w:ascii="Arial" w:eastAsia="Arial" w:hAnsi="Arial" w:cs="Arial"/>
          <w:b/>
          <w:sz w:val="20"/>
          <w:szCs w:val="20"/>
        </w:rPr>
        <w:t>REGLAMENTOS MUNICIPALES Y LEYES ESTATALES EN MATERIA MUNICIPAL. SU EXTENSIÓN NORMATIVA LEGÍTIMA.</w:t>
      </w:r>
    </w:p>
    <w:p w14:paraId="67316F3A" w14:textId="77777777" w:rsidR="005B3E27" w:rsidRPr="00722931" w:rsidRDefault="005B3E27" w:rsidP="005B3E27">
      <w:pPr>
        <w:spacing w:line="360" w:lineRule="auto"/>
        <w:ind w:right="425" w:firstLine="720"/>
        <w:jc w:val="both"/>
        <w:rPr>
          <w:rFonts w:ascii="Arial" w:eastAsia="Arial" w:hAnsi="Arial" w:cs="Arial"/>
          <w:i/>
          <w:sz w:val="20"/>
          <w:szCs w:val="20"/>
        </w:rPr>
      </w:pPr>
      <w:r w:rsidRPr="00722931">
        <w:rPr>
          <w:rFonts w:ascii="Arial" w:eastAsia="Arial" w:hAnsi="Arial" w:cs="Arial"/>
          <w:i/>
          <w:sz w:val="20"/>
          <w:szCs w:val="20"/>
        </w:rPr>
        <w:t xml:space="preserve">Para precisar la extensión normativa legítima de cada una de las fuentes normativas contempladas en la fracción II del artículo 115 de la Constitución Política de los Estados Unidos Mexicanos, deben considerarse varios puntos: 1. </w:t>
      </w:r>
      <w:r w:rsidRPr="00722931">
        <w:rPr>
          <w:rFonts w:ascii="Arial" w:eastAsia="Arial" w:hAnsi="Arial" w:cs="Arial"/>
          <w:b/>
          <w:i/>
          <w:sz w:val="20"/>
          <w:szCs w:val="20"/>
        </w:rPr>
        <w:t>La regulación de aspectos generales en las leyes estatales en materia municipal debe tener por objeto únicamente establecer un marco normativo homogéneo -adjetivo y sustantivo- para los Municipios de un Estado</w:t>
      </w:r>
      <w:r w:rsidRPr="00722931">
        <w:rPr>
          <w:rFonts w:ascii="Arial" w:eastAsia="Arial" w:hAnsi="Arial" w:cs="Arial"/>
          <w:i/>
          <w:sz w:val="20"/>
          <w:szCs w:val="20"/>
        </w:rPr>
        <w:t xml:space="preserve">. </w:t>
      </w:r>
      <w:r w:rsidRPr="00722931">
        <w:rPr>
          <w:rFonts w:ascii="Arial" w:eastAsia="Arial" w:hAnsi="Arial" w:cs="Arial"/>
          <w:b/>
          <w:i/>
          <w:sz w:val="20"/>
          <w:szCs w:val="20"/>
        </w:rPr>
        <w:t>Estas leyes deben incorporar el caudal normativo indispensable para asegurar el funcionamiento del Municipio, únicamente sobre aspectos que requieran dicha uniformidad</w:t>
      </w:r>
      <w:r w:rsidRPr="00722931">
        <w:rPr>
          <w:rFonts w:ascii="Arial" w:eastAsia="Arial" w:hAnsi="Arial" w:cs="Arial"/>
          <w:i/>
          <w:sz w:val="20"/>
          <w:szCs w:val="20"/>
        </w:rPr>
        <w:t xml:space="preserve">; 2. Debe tomarse en cuenta que la competencia reglamentaria del Municipio le garantiza una facultad exclusiva para regular los aspectos medulares de su propio desarrollo; 3. Es inaceptable que, con apoyo en la facultad legislativa con que cuenta el Estado para regular la materia municipal, intervenga en cuestiones específicas de cada Municipio, que le están constitucionalmente reservadas a este último, pues las bases generales de la administración pública municipal no pueden tener, en otras palabras, una extensión temática que anule la facultad del Municipio para reglamentar sus cuestiones específicas. En consecuencia, queda para el ámbito reglamentario, como facultad exclusiva de los Ayuntamientos, lo relativo a policía y gobierno, organización y funcionamiento interno, administración pública municipal, así como emitir normas sustantivas y adjetivas en las materias de su competencia exclusiva, a través de </w:t>
      </w:r>
      <w:r w:rsidRPr="00722931">
        <w:rPr>
          <w:rFonts w:ascii="Arial" w:eastAsia="Arial" w:hAnsi="Arial" w:cs="Arial"/>
          <w:i/>
          <w:sz w:val="20"/>
          <w:szCs w:val="20"/>
        </w:rPr>
        <w:lastRenderedPageBreak/>
        <w:t>bandos, reglamentos, circulares y demás disposiciones de carácter general, en todo lo que concierne a cuestiones específicas de cada Municipio; y 4. Las leyes estatales en materia municipal derivadas del artículo 115, fracción II, inciso a), constitucional, esto es, las encargadas de sentar "las bases generales de la administración pública municipal", comprenden esencialmente aquellas normas indispensables para el funcionamiento regular del Municipio; del Ayuntamiento como su órgano de gobierno y de su administración pública; las normas relativas al procedimiento administrativo, conforme a los principios que se enuncian en los incisos incluidos en la reforma de 1999, así como la regulación de los aspectos de las funciones y los servicios públicos municipales que requieren uniformidad, para efectos de la posible convivencia y orden entre los Municipios de un mismo Estado.</w:t>
      </w:r>
    </w:p>
    <w:p w14:paraId="3CEE8F9F" w14:textId="789262CE" w:rsidR="005E5BA4" w:rsidRDefault="005E5BA4" w:rsidP="00D80C58">
      <w:pPr>
        <w:spacing w:line="240" w:lineRule="auto"/>
        <w:ind w:right="425" w:firstLine="720"/>
        <w:jc w:val="both"/>
        <w:rPr>
          <w:rFonts w:ascii="Arial" w:eastAsia="Arial" w:hAnsi="Arial" w:cs="Arial"/>
          <w:sz w:val="24"/>
          <w:szCs w:val="24"/>
        </w:rPr>
      </w:pPr>
      <w:r>
        <w:rPr>
          <w:rFonts w:ascii="Arial" w:eastAsia="Arial" w:hAnsi="Arial" w:cs="Arial"/>
          <w:sz w:val="24"/>
          <w:szCs w:val="24"/>
        </w:rPr>
        <w:t>Como se aprecia, la tesis citada sienta los parámetros para establecer uniformidad en cuanto a la figura de los asesores municipales</w:t>
      </w:r>
      <w:r w:rsidR="00722931">
        <w:rPr>
          <w:rFonts w:ascii="Arial" w:eastAsia="Arial" w:hAnsi="Arial" w:cs="Arial"/>
          <w:sz w:val="24"/>
          <w:szCs w:val="24"/>
        </w:rPr>
        <w:t xml:space="preserve"> dentro de la ley en la materia</w:t>
      </w:r>
      <w:r>
        <w:rPr>
          <w:rFonts w:ascii="Arial" w:eastAsia="Arial" w:hAnsi="Arial" w:cs="Arial"/>
          <w:sz w:val="24"/>
          <w:szCs w:val="24"/>
        </w:rPr>
        <w:t>, principalmente</w:t>
      </w:r>
      <w:r w:rsidR="00722931">
        <w:rPr>
          <w:rFonts w:ascii="Arial" w:eastAsia="Arial" w:hAnsi="Arial" w:cs="Arial"/>
          <w:sz w:val="24"/>
          <w:szCs w:val="24"/>
        </w:rPr>
        <w:t>,</w:t>
      </w:r>
      <w:r>
        <w:rPr>
          <w:rFonts w:ascii="Arial" w:eastAsia="Arial" w:hAnsi="Arial" w:cs="Arial"/>
          <w:sz w:val="24"/>
          <w:szCs w:val="24"/>
        </w:rPr>
        <w:t xml:space="preserve"> porque se trata de una asignatura pendiente que válidamente la autoridad municipal puede seguir ejerciendo en sus actividades, pero bajo condiciones favorables que permitan un mejor funcionamiento, así como de proveer certeza </w:t>
      </w:r>
      <w:r w:rsidR="000D1856">
        <w:rPr>
          <w:rFonts w:ascii="Arial" w:eastAsia="Arial" w:hAnsi="Arial" w:cs="Arial"/>
          <w:sz w:val="24"/>
          <w:szCs w:val="24"/>
        </w:rPr>
        <w:t>a las que</w:t>
      </w:r>
      <w:r>
        <w:rPr>
          <w:rFonts w:ascii="Arial" w:eastAsia="Arial" w:hAnsi="Arial" w:cs="Arial"/>
          <w:sz w:val="24"/>
          <w:szCs w:val="24"/>
        </w:rPr>
        <w:t xml:space="preserve"> les sean encomendadas</w:t>
      </w:r>
      <w:r w:rsidR="000D1856">
        <w:rPr>
          <w:rFonts w:ascii="Arial" w:eastAsia="Arial" w:hAnsi="Arial" w:cs="Arial"/>
          <w:sz w:val="24"/>
          <w:szCs w:val="24"/>
        </w:rPr>
        <w:t>,</w:t>
      </w:r>
      <w:r w:rsidR="00722931">
        <w:rPr>
          <w:rFonts w:ascii="Arial" w:eastAsia="Arial" w:hAnsi="Arial" w:cs="Arial"/>
          <w:sz w:val="24"/>
          <w:szCs w:val="24"/>
        </w:rPr>
        <w:t xml:space="preserve"> cuidando el buen ejercicio y la dignificación del trabajo municipal. </w:t>
      </w:r>
    </w:p>
    <w:p w14:paraId="08F7B834" w14:textId="22E580D5" w:rsidR="00973E41" w:rsidRDefault="00973E41" w:rsidP="00D80C58">
      <w:pPr>
        <w:spacing w:line="240" w:lineRule="auto"/>
        <w:ind w:right="425" w:firstLine="720"/>
        <w:jc w:val="both"/>
        <w:rPr>
          <w:rFonts w:ascii="Arial" w:eastAsia="Arial" w:hAnsi="Arial" w:cs="Arial"/>
          <w:sz w:val="24"/>
          <w:szCs w:val="24"/>
        </w:rPr>
      </w:pPr>
      <w:r>
        <w:rPr>
          <w:rFonts w:ascii="Arial" w:eastAsia="Arial" w:hAnsi="Arial" w:cs="Arial"/>
          <w:sz w:val="24"/>
          <w:szCs w:val="24"/>
        </w:rPr>
        <w:t xml:space="preserve">Medularmente, </w:t>
      </w:r>
      <w:r w:rsidR="00271539">
        <w:rPr>
          <w:rFonts w:ascii="Arial" w:eastAsia="Arial" w:hAnsi="Arial" w:cs="Arial"/>
          <w:sz w:val="24"/>
          <w:szCs w:val="24"/>
        </w:rPr>
        <w:t xml:space="preserve">la iniciativa que modifica la Ley de Gobierno de los Municipios del Estado de Yucatán, incorpora un Capítulo IV Bis en la cual se establecen de manera puntual, </w:t>
      </w:r>
      <w:r>
        <w:rPr>
          <w:rFonts w:ascii="Arial" w:eastAsia="Arial" w:hAnsi="Arial" w:cs="Arial"/>
          <w:sz w:val="24"/>
          <w:szCs w:val="24"/>
        </w:rPr>
        <w:t xml:space="preserve">la figura del asesor municipal, los requisitos con los que debe contar, así como las obligaciones que debe observar en su encargo y, lo más importante, la responsabilidad de los actos, hechos y omisiones en sus tareas; dicho capítulo contiene los nuevos artículos 71 Bis, 71 Ter y 71 Quáter. </w:t>
      </w:r>
    </w:p>
    <w:p w14:paraId="797E4E91" w14:textId="77777777" w:rsidR="00973E41" w:rsidRDefault="00973E41" w:rsidP="00D80C58">
      <w:pPr>
        <w:spacing w:line="240" w:lineRule="auto"/>
        <w:ind w:right="425" w:firstLine="720"/>
        <w:jc w:val="both"/>
        <w:rPr>
          <w:rFonts w:ascii="Arial" w:eastAsia="Arial" w:hAnsi="Arial" w:cs="Arial"/>
          <w:sz w:val="24"/>
          <w:szCs w:val="24"/>
        </w:rPr>
      </w:pPr>
      <w:r>
        <w:rPr>
          <w:rFonts w:ascii="Arial" w:eastAsia="Arial" w:hAnsi="Arial" w:cs="Arial"/>
          <w:sz w:val="24"/>
          <w:szCs w:val="24"/>
        </w:rPr>
        <w:t xml:space="preserve">Como se ha dicho, esta legislatura tiene un compromiso y una obligación por brindar certeza, seguridad y modernidad a las leyes locales, especialmente las que provean de mecanismos  legales para asegurar el buen desempeño de los servidores públicos. </w:t>
      </w:r>
    </w:p>
    <w:p w14:paraId="4A69E464" w14:textId="68D937A3" w:rsidR="00973E41" w:rsidRDefault="00973E41" w:rsidP="00D80C58">
      <w:pPr>
        <w:spacing w:line="240" w:lineRule="auto"/>
        <w:ind w:right="425" w:firstLine="720"/>
        <w:jc w:val="both"/>
        <w:rPr>
          <w:rFonts w:ascii="Arial" w:eastAsia="Arial" w:hAnsi="Arial" w:cs="Arial"/>
          <w:sz w:val="24"/>
          <w:szCs w:val="24"/>
        </w:rPr>
      </w:pPr>
      <w:r>
        <w:rPr>
          <w:rFonts w:ascii="Arial" w:eastAsia="Arial" w:hAnsi="Arial" w:cs="Arial"/>
          <w:sz w:val="24"/>
          <w:szCs w:val="24"/>
        </w:rPr>
        <w:t>Es por las razones expuestas, que presentamos ante este H. Pleno del Congreso del Estado</w:t>
      </w:r>
      <w:r w:rsidR="00010798">
        <w:rPr>
          <w:rFonts w:ascii="Arial" w:eastAsia="Arial" w:hAnsi="Arial" w:cs="Arial"/>
          <w:sz w:val="24"/>
          <w:szCs w:val="24"/>
        </w:rPr>
        <w:t xml:space="preserve"> de Yucatán</w:t>
      </w:r>
      <w:r>
        <w:rPr>
          <w:rFonts w:ascii="Arial" w:eastAsia="Arial" w:hAnsi="Arial" w:cs="Arial"/>
          <w:sz w:val="24"/>
          <w:szCs w:val="24"/>
        </w:rPr>
        <w:t xml:space="preserve">, la siguiente: </w:t>
      </w:r>
    </w:p>
    <w:p w14:paraId="49280442" w14:textId="77777777" w:rsidR="00D80C58" w:rsidRDefault="00D80C58" w:rsidP="00D80C58">
      <w:pPr>
        <w:spacing w:line="240" w:lineRule="auto"/>
        <w:ind w:right="425" w:firstLine="720"/>
        <w:jc w:val="both"/>
        <w:rPr>
          <w:rFonts w:ascii="Arial" w:eastAsia="Arial" w:hAnsi="Arial" w:cs="Arial"/>
          <w:sz w:val="24"/>
          <w:szCs w:val="24"/>
        </w:rPr>
      </w:pPr>
    </w:p>
    <w:p w14:paraId="4D408823" w14:textId="77777777" w:rsidR="0037267C" w:rsidRDefault="0037267C" w:rsidP="00D80C58">
      <w:pPr>
        <w:spacing w:line="240" w:lineRule="auto"/>
        <w:ind w:right="425" w:firstLine="720"/>
        <w:jc w:val="both"/>
        <w:rPr>
          <w:rFonts w:ascii="Arial" w:eastAsia="Arial" w:hAnsi="Arial" w:cs="Arial"/>
          <w:sz w:val="24"/>
          <w:szCs w:val="24"/>
        </w:rPr>
      </w:pPr>
    </w:p>
    <w:p w14:paraId="3FB38580" w14:textId="77777777" w:rsidR="0037267C" w:rsidRDefault="0037267C" w:rsidP="00D80C58">
      <w:pPr>
        <w:spacing w:line="240" w:lineRule="auto"/>
        <w:ind w:right="425" w:firstLine="720"/>
        <w:jc w:val="both"/>
        <w:rPr>
          <w:rFonts w:ascii="Arial" w:eastAsia="Arial" w:hAnsi="Arial" w:cs="Arial"/>
          <w:sz w:val="24"/>
          <w:szCs w:val="24"/>
        </w:rPr>
      </w:pPr>
    </w:p>
    <w:p w14:paraId="651550B8" w14:textId="77777777" w:rsidR="0037267C" w:rsidRDefault="0037267C" w:rsidP="00D80C58">
      <w:pPr>
        <w:spacing w:line="240" w:lineRule="auto"/>
        <w:ind w:right="425" w:firstLine="720"/>
        <w:jc w:val="both"/>
        <w:rPr>
          <w:rFonts w:ascii="Arial" w:eastAsia="Arial" w:hAnsi="Arial" w:cs="Arial"/>
          <w:sz w:val="24"/>
          <w:szCs w:val="24"/>
        </w:rPr>
      </w:pPr>
    </w:p>
    <w:p w14:paraId="7DC69F25" w14:textId="77777777" w:rsidR="0037267C" w:rsidRDefault="0037267C" w:rsidP="00D80C58">
      <w:pPr>
        <w:spacing w:line="240" w:lineRule="auto"/>
        <w:ind w:right="425" w:firstLine="720"/>
        <w:jc w:val="both"/>
        <w:rPr>
          <w:rFonts w:ascii="Arial" w:eastAsia="Arial" w:hAnsi="Arial" w:cs="Arial"/>
          <w:sz w:val="24"/>
          <w:szCs w:val="24"/>
        </w:rPr>
      </w:pPr>
    </w:p>
    <w:p w14:paraId="47D45BC2" w14:textId="77777777" w:rsidR="0037267C" w:rsidRDefault="0037267C" w:rsidP="00D80C58">
      <w:pPr>
        <w:spacing w:line="240" w:lineRule="auto"/>
        <w:ind w:right="425" w:firstLine="720"/>
        <w:jc w:val="both"/>
        <w:rPr>
          <w:rFonts w:ascii="Arial" w:eastAsia="Arial" w:hAnsi="Arial" w:cs="Arial"/>
          <w:sz w:val="24"/>
          <w:szCs w:val="24"/>
        </w:rPr>
      </w:pPr>
    </w:p>
    <w:p w14:paraId="00000001" w14:textId="77777777" w:rsidR="00C5710E" w:rsidRDefault="00DD35D0" w:rsidP="00D80C58">
      <w:pPr>
        <w:spacing w:after="280" w:line="240" w:lineRule="auto"/>
        <w:jc w:val="both"/>
        <w:rPr>
          <w:rFonts w:ascii="Arial" w:eastAsia="Arial" w:hAnsi="Arial" w:cs="Arial"/>
          <w:b/>
          <w:sz w:val="24"/>
          <w:szCs w:val="24"/>
        </w:rPr>
      </w:pPr>
      <w:r>
        <w:rPr>
          <w:rFonts w:ascii="Arial" w:eastAsia="Arial" w:hAnsi="Arial" w:cs="Arial"/>
          <w:b/>
          <w:sz w:val="24"/>
          <w:szCs w:val="24"/>
        </w:rPr>
        <w:lastRenderedPageBreak/>
        <w:t xml:space="preserve">INICIATIVA CON PROYECTO DE REFORMA QUE ADICIONA UN CAPÍTULO IV BIS DENTRO DE LA LEY DE GOBIERNO DE LOS MUNICIPIOS DEL ESTADO DE YUCATÁN, EN MATERIA DE INCLUIR LA FIGURA DE LOS ASESORES MUNICIPALES. </w:t>
      </w:r>
    </w:p>
    <w:p w14:paraId="00000003" w14:textId="77777777" w:rsidR="00C5710E" w:rsidRDefault="00DD35D0" w:rsidP="00010798">
      <w:pPr>
        <w:spacing w:before="280" w:after="280" w:line="240" w:lineRule="auto"/>
        <w:jc w:val="both"/>
        <w:rPr>
          <w:rFonts w:ascii="Arial" w:eastAsia="Arial" w:hAnsi="Arial" w:cs="Arial"/>
          <w:sz w:val="24"/>
          <w:szCs w:val="24"/>
        </w:rPr>
      </w:pPr>
      <w:r>
        <w:rPr>
          <w:rFonts w:ascii="Arial" w:eastAsia="Arial" w:hAnsi="Arial" w:cs="Arial"/>
          <w:b/>
          <w:sz w:val="24"/>
          <w:szCs w:val="24"/>
        </w:rPr>
        <w:t>ARTÍCULO ÚNICO</w:t>
      </w:r>
      <w:r>
        <w:rPr>
          <w:rFonts w:ascii="Arial" w:eastAsia="Arial" w:hAnsi="Arial" w:cs="Arial"/>
          <w:sz w:val="24"/>
          <w:szCs w:val="24"/>
        </w:rPr>
        <w:t xml:space="preserve">.- Se Adiciona al Título Segundo un Capítulo IV Bis denominándose “de los Asesores Municipales”, a la  Ley de Gobierno de los Municipios del Estado de Yucatán, para quedar como sigue: </w:t>
      </w:r>
    </w:p>
    <w:p w14:paraId="00000004" w14:textId="77777777" w:rsidR="00C5710E" w:rsidRDefault="00DD35D0">
      <w:pPr>
        <w:tabs>
          <w:tab w:val="left" w:pos="1661"/>
        </w:tabs>
        <w:spacing w:after="0" w:line="240" w:lineRule="auto"/>
        <w:jc w:val="center"/>
        <w:rPr>
          <w:rFonts w:ascii="Arial" w:eastAsia="Arial" w:hAnsi="Arial" w:cs="Arial"/>
          <w:b/>
          <w:sz w:val="24"/>
          <w:szCs w:val="24"/>
        </w:rPr>
      </w:pPr>
      <w:r>
        <w:rPr>
          <w:rFonts w:ascii="Arial" w:eastAsia="Arial" w:hAnsi="Arial" w:cs="Arial"/>
          <w:b/>
          <w:sz w:val="24"/>
          <w:szCs w:val="24"/>
        </w:rPr>
        <w:t>CAPÍTULO IV BIS</w:t>
      </w:r>
    </w:p>
    <w:p w14:paraId="00000005" w14:textId="77777777" w:rsidR="00C5710E" w:rsidRDefault="00DD35D0">
      <w:pPr>
        <w:tabs>
          <w:tab w:val="left" w:pos="1661"/>
        </w:tabs>
        <w:spacing w:after="0" w:line="240" w:lineRule="auto"/>
        <w:jc w:val="center"/>
        <w:rPr>
          <w:rFonts w:ascii="Arial" w:eastAsia="Arial" w:hAnsi="Arial" w:cs="Arial"/>
          <w:b/>
          <w:sz w:val="24"/>
          <w:szCs w:val="24"/>
        </w:rPr>
      </w:pPr>
      <w:r>
        <w:rPr>
          <w:rFonts w:ascii="Arial" w:eastAsia="Arial" w:hAnsi="Arial" w:cs="Arial"/>
          <w:b/>
          <w:sz w:val="24"/>
          <w:szCs w:val="24"/>
        </w:rPr>
        <w:t>DE LOS ASESORES MUNICIPALES</w:t>
      </w:r>
    </w:p>
    <w:p w14:paraId="00000006" w14:textId="77777777" w:rsidR="00C5710E" w:rsidRDefault="00C5710E">
      <w:pPr>
        <w:tabs>
          <w:tab w:val="left" w:pos="1661"/>
        </w:tabs>
        <w:spacing w:after="0" w:line="240" w:lineRule="auto"/>
        <w:jc w:val="center"/>
        <w:rPr>
          <w:rFonts w:ascii="Arial" w:eastAsia="Arial" w:hAnsi="Arial" w:cs="Arial"/>
          <w:b/>
          <w:sz w:val="24"/>
          <w:szCs w:val="24"/>
        </w:rPr>
      </w:pPr>
    </w:p>
    <w:p w14:paraId="00000007" w14:textId="77777777" w:rsidR="00C5710E" w:rsidRDefault="00DD35D0" w:rsidP="00010798">
      <w:pPr>
        <w:tabs>
          <w:tab w:val="left" w:pos="1661"/>
        </w:tabs>
        <w:spacing w:before="280" w:after="280"/>
        <w:jc w:val="both"/>
        <w:rPr>
          <w:rFonts w:ascii="Arial" w:eastAsia="Arial" w:hAnsi="Arial" w:cs="Arial"/>
          <w:sz w:val="24"/>
          <w:szCs w:val="24"/>
        </w:rPr>
      </w:pPr>
      <w:r>
        <w:rPr>
          <w:rFonts w:ascii="Arial" w:eastAsia="Arial" w:hAnsi="Arial" w:cs="Arial"/>
          <w:b/>
          <w:sz w:val="24"/>
          <w:szCs w:val="24"/>
        </w:rPr>
        <w:t>Artículo 71 Bis.-</w:t>
      </w:r>
      <w:r>
        <w:rPr>
          <w:rFonts w:ascii="Arial" w:eastAsia="Arial" w:hAnsi="Arial" w:cs="Arial"/>
          <w:sz w:val="24"/>
          <w:szCs w:val="24"/>
        </w:rPr>
        <w:t xml:space="preserve"> Los asesores municipales dependerán directamente del titular de la presidencia municipal, siendo estos, los profesionales encargados de auxiliar, apoyar, atender, proponer y desarrollar proyectos, programas y demás funciones que le encomiende el mismo. </w:t>
      </w:r>
    </w:p>
    <w:p w14:paraId="00000008" w14:textId="77777777" w:rsidR="00C5710E" w:rsidRDefault="00DD35D0" w:rsidP="00010798">
      <w:pPr>
        <w:tabs>
          <w:tab w:val="left" w:pos="1661"/>
        </w:tabs>
        <w:spacing w:before="280" w:after="280"/>
        <w:jc w:val="both"/>
        <w:rPr>
          <w:rFonts w:ascii="Arial" w:eastAsia="Arial" w:hAnsi="Arial" w:cs="Arial"/>
          <w:sz w:val="24"/>
          <w:szCs w:val="24"/>
        </w:rPr>
      </w:pPr>
      <w:r>
        <w:rPr>
          <w:rFonts w:ascii="Arial" w:eastAsia="Arial" w:hAnsi="Arial" w:cs="Arial"/>
          <w:sz w:val="24"/>
          <w:szCs w:val="24"/>
        </w:rPr>
        <w:t xml:space="preserve">Deberán acreditar título y cédula profesional  de licenciado en derecho, contabilidad y cualquier otra afín a la administración pública municipal y deberá  contar con experiencia mínima de tres años en la materia. </w:t>
      </w:r>
    </w:p>
    <w:p w14:paraId="0000000A" w14:textId="3C3343E3" w:rsidR="00C5710E" w:rsidRDefault="00DD35D0" w:rsidP="00010798">
      <w:pPr>
        <w:tabs>
          <w:tab w:val="left" w:pos="1661"/>
        </w:tabs>
        <w:spacing w:before="280" w:after="280"/>
        <w:jc w:val="both"/>
        <w:rPr>
          <w:rFonts w:ascii="Arial" w:eastAsia="Arial" w:hAnsi="Arial" w:cs="Arial"/>
          <w:sz w:val="24"/>
          <w:szCs w:val="24"/>
        </w:rPr>
      </w:pPr>
      <w:r>
        <w:rPr>
          <w:rFonts w:ascii="Arial" w:eastAsia="Arial" w:hAnsi="Arial" w:cs="Arial"/>
          <w:b/>
          <w:sz w:val="24"/>
          <w:szCs w:val="24"/>
        </w:rPr>
        <w:t>Artículo 71 Ter</w:t>
      </w:r>
      <w:r w:rsidR="000D1856">
        <w:rPr>
          <w:rFonts w:ascii="Arial" w:eastAsia="Arial" w:hAnsi="Arial" w:cs="Arial"/>
          <w:sz w:val="24"/>
          <w:szCs w:val="24"/>
        </w:rPr>
        <w:t>.- Los asesores municipales tendrán como</w:t>
      </w:r>
      <w:r>
        <w:rPr>
          <w:rFonts w:ascii="Arial" w:eastAsia="Arial" w:hAnsi="Arial" w:cs="Arial"/>
          <w:sz w:val="24"/>
          <w:szCs w:val="24"/>
        </w:rPr>
        <w:t xml:space="preserve"> obligaciones  las siguientes:</w:t>
      </w:r>
    </w:p>
    <w:p w14:paraId="0000000B" w14:textId="77777777" w:rsidR="00C5710E" w:rsidRDefault="00DD35D0" w:rsidP="00010798">
      <w:pPr>
        <w:tabs>
          <w:tab w:val="left" w:pos="1661"/>
        </w:tabs>
        <w:spacing w:before="280" w:after="280"/>
        <w:jc w:val="both"/>
        <w:rPr>
          <w:rFonts w:ascii="Arial" w:eastAsia="Arial" w:hAnsi="Arial" w:cs="Arial"/>
          <w:sz w:val="24"/>
          <w:szCs w:val="24"/>
        </w:rPr>
      </w:pPr>
      <w:r>
        <w:rPr>
          <w:rFonts w:ascii="Arial" w:eastAsia="Arial" w:hAnsi="Arial" w:cs="Arial"/>
          <w:sz w:val="24"/>
          <w:szCs w:val="24"/>
        </w:rPr>
        <w:t>I.-Contribuir al proceso de toma de decisiones de la persona titular de la Presidencia Municipal  a través  de estudios e identificación de problemas específicos de las dependencias y unidades administrativas;</w:t>
      </w:r>
    </w:p>
    <w:p w14:paraId="0000000C" w14:textId="77777777" w:rsidR="00C5710E" w:rsidRDefault="00DD35D0" w:rsidP="00010798">
      <w:pPr>
        <w:tabs>
          <w:tab w:val="left" w:pos="1661"/>
        </w:tabs>
        <w:spacing w:before="280" w:after="280"/>
        <w:jc w:val="both"/>
        <w:rPr>
          <w:rFonts w:ascii="Arial" w:eastAsia="Arial" w:hAnsi="Arial" w:cs="Arial"/>
          <w:sz w:val="24"/>
          <w:szCs w:val="24"/>
        </w:rPr>
      </w:pPr>
      <w:r>
        <w:rPr>
          <w:rFonts w:ascii="Arial" w:eastAsia="Arial" w:hAnsi="Arial" w:cs="Arial"/>
          <w:sz w:val="24"/>
          <w:szCs w:val="24"/>
        </w:rPr>
        <w:t>II.-Asesorar en metodologías, estrategias y recursos para el desarrollo de los proyectos, programas y demás asuntos que le sean encomendados;</w:t>
      </w:r>
    </w:p>
    <w:p w14:paraId="0000000D" w14:textId="26C703A5" w:rsidR="00C5710E" w:rsidRDefault="00F258D0" w:rsidP="00010798">
      <w:pPr>
        <w:tabs>
          <w:tab w:val="left" w:pos="1661"/>
        </w:tabs>
        <w:spacing w:before="280" w:after="280"/>
        <w:jc w:val="both"/>
        <w:rPr>
          <w:rFonts w:ascii="Arial" w:eastAsia="Arial" w:hAnsi="Arial" w:cs="Arial"/>
          <w:sz w:val="24"/>
          <w:szCs w:val="24"/>
        </w:rPr>
      </w:pPr>
      <w:r>
        <w:rPr>
          <w:rFonts w:ascii="Arial" w:eastAsia="Arial" w:hAnsi="Arial" w:cs="Arial"/>
          <w:sz w:val="24"/>
          <w:szCs w:val="24"/>
        </w:rPr>
        <w:t>III.-Analizar y proporcionar</w:t>
      </w:r>
      <w:r w:rsidR="00DD35D0">
        <w:rPr>
          <w:rFonts w:ascii="Arial" w:eastAsia="Arial" w:hAnsi="Arial" w:cs="Arial"/>
          <w:sz w:val="24"/>
          <w:szCs w:val="24"/>
        </w:rPr>
        <w:t xml:space="preserve"> elementos de carácter técnico, jurídico, polític</w:t>
      </w:r>
      <w:r>
        <w:rPr>
          <w:rFonts w:ascii="Arial" w:eastAsia="Arial" w:hAnsi="Arial" w:cs="Arial"/>
          <w:sz w:val="24"/>
          <w:szCs w:val="24"/>
        </w:rPr>
        <w:t xml:space="preserve">o y financiero para la toma de </w:t>
      </w:r>
      <w:r w:rsidR="00DD35D0">
        <w:rPr>
          <w:rFonts w:ascii="Arial" w:eastAsia="Arial" w:hAnsi="Arial" w:cs="Arial"/>
          <w:sz w:val="24"/>
          <w:szCs w:val="24"/>
        </w:rPr>
        <w:t>decisiones de la persona titular de la Presidencia Municipal;</w:t>
      </w:r>
    </w:p>
    <w:p w14:paraId="0000000E" w14:textId="77777777" w:rsidR="00C5710E" w:rsidRDefault="00DD35D0" w:rsidP="00010798">
      <w:pPr>
        <w:tabs>
          <w:tab w:val="left" w:pos="1661"/>
        </w:tabs>
        <w:spacing w:before="280" w:after="280"/>
        <w:jc w:val="both"/>
        <w:rPr>
          <w:rFonts w:ascii="Arial" w:eastAsia="Arial" w:hAnsi="Arial" w:cs="Arial"/>
          <w:sz w:val="24"/>
          <w:szCs w:val="24"/>
        </w:rPr>
      </w:pPr>
      <w:r>
        <w:rPr>
          <w:rFonts w:ascii="Arial" w:eastAsia="Arial" w:hAnsi="Arial" w:cs="Arial"/>
          <w:sz w:val="24"/>
          <w:szCs w:val="24"/>
        </w:rPr>
        <w:t>IV.-Atender cabalmente los requisitos, términos, plazos y demás elementos que se requieran para el ejercicio de las funciones del Ayuntamiento;</w:t>
      </w:r>
    </w:p>
    <w:p w14:paraId="0000000F" w14:textId="12EB6478" w:rsidR="00C5710E" w:rsidRDefault="00DD35D0" w:rsidP="00010798">
      <w:pPr>
        <w:tabs>
          <w:tab w:val="left" w:pos="1661"/>
        </w:tabs>
        <w:spacing w:before="280" w:after="280"/>
        <w:jc w:val="both"/>
        <w:rPr>
          <w:rFonts w:ascii="Arial" w:eastAsia="Arial" w:hAnsi="Arial" w:cs="Arial"/>
          <w:sz w:val="24"/>
          <w:szCs w:val="24"/>
        </w:rPr>
      </w:pPr>
      <w:r>
        <w:rPr>
          <w:rFonts w:ascii="Arial" w:eastAsia="Arial" w:hAnsi="Arial" w:cs="Arial"/>
          <w:sz w:val="24"/>
          <w:szCs w:val="24"/>
        </w:rPr>
        <w:t xml:space="preserve">V.- Realizar el monitoreo del impacto político de las decisiones tomadas por </w:t>
      </w:r>
      <w:r w:rsidR="000D1856">
        <w:rPr>
          <w:rFonts w:ascii="Arial" w:eastAsia="Arial" w:hAnsi="Arial" w:cs="Arial"/>
          <w:sz w:val="24"/>
          <w:szCs w:val="24"/>
        </w:rPr>
        <w:t xml:space="preserve">la </w:t>
      </w:r>
      <w:r>
        <w:rPr>
          <w:rFonts w:ascii="Arial" w:eastAsia="Arial" w:hAnsi="Arial" w:cs="Arial"/>
          <w:sz w:val="24"/>
          <w:szCs w:val="24"/>
        </w:rPr>
        <w:t>persona titular de la Presidencia Municipal;</w:t>
      </w:r>
    </w:p>
    <w:p w14:paraId="00000010" w14:textId="77777777" w:rsidR="00C5710E" w:rsidRDefault="00DD35D0" w:rsidP="00010798">
      <w:pPr>
        <w:tabs>
          <w:tab w:val="left" w:pos="1661"/>
        </w:tabs>
        <w:spacing w:before="280" w:after="280"/>
        <w:jc w:val="both"/>
        <w:rPr>
          <w:rFonts w:ascii="Arial" w:eastAsia="Arial" w:hAnsi="Arial" w:cs="Arial"/>
          <w:sz w:val="24"/>
          <w:szCs w:val="24"/>
        </w:rPr>
      </w:pPr>
      <w:r>
        <w:rPr>
          <w:rFonts w:ascii="Arial" w:eastAsia="Arial" w:hAnsi="Arial" w:cs="Arial"/>
          <w:sz w:val="24"/>
          <w:szCs w:val="24"/>
        </w:rPr>
        <w:lastRenderedPageBreak/>
        <w:t>VI.- Brindar asesoría especializada en problemáticas emergentes relativas al municipio;</w:t>
      </w:r>
    </w:p>
    <w:p w14:paraId="00000011" w14:textId="648B7102" w:rsidR="00C5710E" w:rsidRDefault="00DD35D0" w:rsidP="00010798">
      <w:pPr>
        <w:tabs>
          <w:tab w:val="left" w:pos="1661"/>
        </w:tabs>
        <w:spacing w:before="280" w:after="280"/>
        <w:jc w:val="both"/>
        <w:rPr>
          <w:rFonts w:ascii="Arial" w:eastAsia="Arial" w:hAnsi="Arial" w:cs="Arial"/>
          <w:sz w:val="24"/>
          <w:szCs w:val="24"/>
        </w:rPr>
      </w:pPr>
      <w:r>
        <w:rPr>
          <w:rFonts w:ascii="Arial" w:eastAsia="Arial" w:hAnsi="Arial" w:cs="Arial"/>
          <w:sz w:val="24"/>
          <w:szCs w:val="24"/>
        </w:rPr>
        <w:t xml:space="preserve">VII.- Proponer a la persona titular de la Presidencia Municipal, los mecanismos técnicos que permitan elevar los niveles de eficiencia y productividad en la administración </w:t>
      </w:r>
      <w:r w:rsidR="00F258D0">
        <w:rPr>
          <w:rFonts w:ascii="Arial" w:eastAsia="Arial" w:hAnsi="Arial" w:cs="Arial"/>
          <w:sz w:val="24"/>
          <w:szCs w:val="24"/>
        </w:rPr>
        <w:t>p</w:t>
      </w:r>
      <w:r>
        <w:rPr>
          <w:rFonts w:ascii="Arial" w:eastAsia="Arial" w:hAnsi="Arial" w:cs="Arial"/>
          <w:sz w:val="24"/>
          <w:szCs w:val="24"/>
        </w:rPr>
        <w:t xml:space="preserve">ública </w:t>
      </w:r>
      <w:r w:rsidR="00F258D0">
        <w:rPr>
          <w:rFonts w:ascii="Arial" w:eastAsia="Arial" w:hAnsi="Arial" w:cs="Arial"/>
          <w:sz w:val="24"/>
          <w:szCs w:val="24"/>
        </w:rPr>
        <w:t>m</w:t>
      </w:r>
      <w:r>
        <w:rPr>
          <w:rFonts w:ascii="Arial" w:eastAsia="Arial" w:hAnsi="Arial" w:cs="Arial"/>
          <w:sz w:val="24"/>
          <w:szCs w:val="24"/>
        </w:rPr>
        <w:t xml:space="preserve">unicipal; </w:t>
      </w:r>
    </w:p>
    <w:p w14:paraId="00000012" w14:textId="104D840D" w:rsidR="00C5710E" w:rsidRDefault="00DD35D0" w:rsidP="00010798">
      <w:pPr>
        <w:tabs>
          <w:tab w:val="left" w:pos="1661"/>
        </w:tabs>
        <w:spacing w:before="280" w:after="280"/>
        <w:jc w:val="both"/>
        <w:rPr>
          <w:rFonts w:ascii="Arial" w:eastAsia="Arial" w:hAnsi="Arial" w:cs="Arial"/>
          <w:sz w:val="24"/>
          <w:szCs w:val="24"/>
        </w:rPr>
      </w:pPr>
      <w:r>
        <w:rPr>
          <w:rFonts w:ascii="Arial" w:eastAsia="Arial" w:hAnsi="Arial" w:cs="Arial"/>
          <w:sz w:val="24"/>
          <w:szCs w:val="24"/>
        </w:rPr>
        <w:t>VIII.- Proponer el diseño de políticas públicas municipales, derivadas del Plan Municipal de Desarrollo, con la finali</w:t>
      </w:r>
      <w:r w:rsidR="000D1856">
        <w:rPr>
          <w:rFonts w:ascii="Arial" w:eastAsia="Arial" w:hAnsi="Arial" w:cs="Arial"/>
          <w:sz w:val="24"/>
          <w:szCs w:val="24"/>
        </w:rPr>
        <w:t>dad de orientar los compromisos</w:t>
      </w:r>
      <w:r>
        <w:rPr>
          <w:rFonts w:ascii="Arial" w:eastAsia="Arial" w:hAnsi="Arial" w:cs="Arial"/>
          <w:sz w:val="24"/>
          <w:szCs w:val="24"/>
        </w:rPr>
        <w:t xml:space="preserve"> adquiridos  por la Presidencia Municipal; y</w:t>
      </w:r>
    </w:p>
    <w:p w14:paraId="00000013" w14:textId="0856F3B2" w:rsidR="00C5710E" w:rsidRDefault="00DD35D0" w:rsidP="00010798">
      <w:pPr>
        <w:tabs>
          <w:tab w:val="left" w:pos="1661"/>
        </w:tabs>
        <w:spacing w:before="280" w:after="280"/>
        <w:jc w:val="both"/>
        <w:rPr>
          <w:rFonts w:ascii="Arial" w:eastAsia="Arial" w:hAnsi="Arial" w:cs="Arial"/>
          <w:sz w:val="24"/>
          <w:szCs w:val="24"/>
        </w:rPr>
      </w:pPr>
      <w:r>
        <w:rPr>
          <w:rFonts w:ascii="Arial" w:eastAsia="Arial" w:hAnsi="Arial" w:cs="Arial"/>
          <w:sz w:val="24"/>
          <w:szCs w:val="24"/>
        </w:rPr>
        <w:t>IX.- Ejercer las demás</w:t>
      </w:r>
      <w:r w:rsidR="000D1856">
        <w:rPr>
          <w:rFonts w:ascii="Arial" w:eastAsia="Arial" w:hAnsi="Arial" w:cs="Arial"/>
          <w:sz w:val="24"/>
          <w:szCs w:val="24"/>
        </w:rPr>
        <w:t xml:space="preserve"> actividades</w:t>
      </w:r>
      <w:r>
        <w:rPr>
          <w:rFonts w:ascii="Arial" w:eastAsia="Arial" w:hAnsi="Arial" w:cs="Arial"/>
          <w:sz w:val="24"/>
          <w:szCs w:val="24"/>
        </w:rPr>
        <w:t xml:space="preserve"> que en el ámbito de su competencia, le señalen los reglamentos, manuales y lineamientos vigentes; así como aquellas encomendadas expresamente por el titular de la Presidencia Municipal.</w:t>
      </w:r>
    </w:p>
    <w:p w14:paraId="53AB32AD" w14:textId="157CAD3D" w:rsidR="00421E68" w:rsidRPr="00D80C58" w:rsidRDefault="00DD35D0" w:rsidP="00010798">
      <w:pPr>
        <w:tabs>
          <w:tab w:val="left" w:pos="1661"/>
        </w:tabs>
        <w:spacing w:before="280" w:after="280"/>
        <w:jc w:val="both"/>
        <w:rPr>
          <w:rFonts w:ascii="Arial" w:eastAsia="Arial" w:hAnsi="Arial" w:cs="Arial"/>
          <w:sz w:val="24"/>
          <w:szCs w:val="24"/>
        </w:rPr>
      </w:pPr>
      <w:r>
        <w:rPr>
          <w:rFonts w:ascii="Arial" w:eastAsia="Arial" w:hAnsi="Arial" w:cs="Arial"/>
          <w:b/>
          <w:sz w:val="24"/>
          <w:szCs w:val="24"/>
        </w:rPr>
        <w:t>Artículo 71 quáter.-</w:t>
      </w:r>
      <w:r>
        <w:rPr>
          <w:rFonts w:ascii="Arial" w:eastAsia="Arial" w:hAnsi="Arial" w:cs="Arial"/>
          <w:sz w:val="24"/>
          <w:szCs w:val="24"/>
        </w:rPr>
        <w:t xml:space="preserve"> </w:t>
      </w:r>
      <w:r w:rsidRPr="00D80C58">
        <w:rPr>
          <w:rFonts w:ascii="Arial" w:eastAsia="Arial" w:hAnsi="Arial" w:cs="Arial"/>
          <w:sz w:val="24"/>
          <w:szCs w:val="24"/>
        </w:rPr>
        <w:t>Los asesores mu</w:t>
      </w:r>
      <w:r w:rsidR="00421E68" w:rsidRPr="00D80C58">
        <w:rPr>
          <w:rFonts w:ascii="Arial" w:eastAsia="Arial" w:hAnsi="Arial" w:cs="Arial"/>
          <w:sz w:val="24"/>
          <w:szCs w:val="24"/>
        </w:rPr>
        <w:t xml:space="preserve">nicipales, independientemente de la relación laboral o contractual </w:t>
      </w:r>
      <w:r w:rsidR="00EC0F66" w:rsidRPr="00D80C58">
        <w:rPr>
          <w:rFonts w:ascii="Arial" w:eastAsia="Arial" w:hAnsi="Arial" w:cs="Arial"/>
          <w:sz w:val="24"/>
          <w:szCs w:val="24"/>
        </w:rPr>
        <w:t>por la que presten sus servicios</w:t>
      </w:r>
      <w:r w:rsidR="000D1856" w:rsidRPr="00D80C58">
        <w:rPr>
          <w:rFonts w:ascii="Arial" w:eastAsia="Arial" w:hAnsi="Arial" w:cs="Arial"/>
          <w:sz w:val="24"/>
          <w:szCs w:val="24"/>
        </w:rPr>
        <w:t>,</w:t>
      </w:r>
      <w:r w:rsidR="00EC0F66" w:rsidRPr="00D80C58">
        <w:rPr>
          <w:rFonts w:ascii="Arial" w:eastAsia="Arial" w:hAnsi="Arial" w:cs="Arial"/>
          <w:sz w:val="24"/>
          <w:szCs w:val="24"/>
        </w:rPr>
        <w:t xml:space="preserve"> </w:t>
      </w:r>
      <w:r w:rsidR="00F258D0" w:rsidRPr="00D80C58">
        <w:rPr>
          <w:rFonts w:ascii="Arial" w:eastAsia="Arial" w:hAnsi="Arial" w:cs="Arial"/>
          <w:sz w:val="24"/>
          <w:szCs w:val="24"/>
        </w:rPr>
        <w:t xml:space="preserve">serán responsables de las </w:t>
      </w:r>
      <w:r w:rsidRPr="00D80C58">
        <w:rPr>
          <w:rFonts w:ascii="Arial" w:eastAsia="Arial" w:hAnsi="Arial" w:cs="Arial"/>
          <w:sz w:val="24"/>
          <w:szCs w:val="24"/>
        </w:rPr>
        <w:t xml:space="preserve">faltas administrativas </w:t>
      </w:r>
      <w:r w:rsidR="00F258D0" w:rsidRPr="00D80C58">
        <w:rPr>
          <w:rFonts w:ascii="Arial" w:eastAsia="Arial" w:hAnsi="Arial" w:cs="Arial"/>
          <w:sz w:val="24"/>
          <w:szCs w:val="24"/>
        </w:rPr>
        <w:t xml:space="preserve">y los delitos </w:t>
      </w:r>
      <w:r w:rsidRPr="00D80C58">
        <w:rPr>
          <w:rFonts w:ascii="Arial" w:eastAsia="Arial" w:hAnsi="Arial" w:cs="Arial"/>
          <w:sz w:val="24"/>
          <w:szCs w:val="24"/>
        </w:rPr>
        <w:t>que</w:t>
      </w:r>
      <w:r w:rsidR="000D1856" w:rsidRPr="00D80C58">
        <w:rPr>
          <w:rFonts w:ascii="Arial" w:eastAsia="Arial" w:hAnsi="Arial" w:cs="Arial"/>
          <w:sz w:val="24"/>
          <w:szCs w:val="24"/>
        </w:rPr>
        <w:t xml:space="preserve"> cometan en la realización de sus actividades, tareas y obligaciones </w:t>
      </w:r>
      <w:r w:rsidR="00F258D0" w:rsidRPr="00D80C58">
        <w:rPr>
          <w:rFonts w:ascii="Arial" w:eastAsia="Arial" w:hAnsi="Arial" w:cs="Arial"/>
          <w:sz w:val="24"/>
          <w:szCs w:val="24"/>
        </w:rPr>
        <w:t>o con motivo de ellas,</w:t>
      </w:r>
      <w:r w:rsidRPr="00D80C58">
        <w:rPr>
          <w:rFonts w:ascii="Arial" w:eastAsia="Arial" w:hAnsi="Arial" w:cs="Arial"/>
          <w:sz w:val="24"/>
          <w:szCs w:val="24"/>
        </w:rPr>
        <w:t xml:space="preserve"> </w:t>
      </w:r>
      <w:r w:rsidR="00F258D0" w:rsidRPr="00D80C58">
        <w:rPr>
          <w:rFonts w:ascii="Arial" w:eastAsia="Arial" w:hAnsi="Arial" w:cs="Arial"/>
          <w:sz w:val="24"/>
          <w:szCs w:val="24"/>
        </w:rPr>
        <w:t xml:space="preserve">para lo cual se les considerará como servidores públicos para efectos de lo </w:t>
      </w:r>
      <w:r w:rsidR="00540AE8" w:rsidRPr="00D80C58">
        <w:rPr>
          <w:rFonts w:ascii="Arial" w:eastAsia="Arial" w:hAnsi="Arial" w:cs="Arial"/>
          <w:sz w:val="24"/>
          <w:szCs w:val="24"/>
        </w:rPr>
        <w:t>previsto</w:t>
      </w:r>
      <w:r w:rsidR="00F258D0" w:rsidRPr="00D80C58">
        <w:rPr>
          <w:rFonts w:ascii="Arial" w:eastAsia="Arial" w:hAnsi="Arial" w:cs="Arial"/>
          <w:sz w:val="24"/>
          <w:szCs w:val="24"/>
        </w:rPr>
        <w:t xml:space="preserve"> en</w:t>
      </w:r>
      <w:r w:rsidR="00973E41" w:rsidRPr="00D80C58">
        <w:rPr>
          <w:rFonts w:ascii="Arial" w:eastAsia="Arial" w:hAnsi="Arial" w:cs="Arial"/>
          <w:sz w:val="24"/>
          <w:szCs w:val="24"/>
        </w:rPr>
        <w:t xml:space="preserve"> la Ley de Responsabilidades Admini</w:t>
      </w:r>
      <w:r w:rsidR="00421E68" w:rsidRPr="00D80C58">
        <w:rPr>
          <w:rFonts w:ascii="Arial" w:eastAsia="Arial" w:hAnsi="Arial" w:cs="Arial"/>
          <w:sz w:val="24"/>
          <w:szCs w:val="24"/>
        </w:rPr>
        <w:t>s</w:t>
      </w:r>
      <w:r w:rsidR="00EC0F66" w:rsidRPr="00D80C58">
        <w:rPr>
          <w:rFonts w:ascii="Arial" w:eastAsia="Arial" w:hAnsi="Arial" w:cs="Arial"/>
          <w:sz w:val="24"/>
          <w:szCs w:val="24"/>
        </w:rPr>
        <w:t>t</w:t>
      </w:r>
      <w:r w:rsidR="00F258D0" w:rsidRPr="00D80C58">
        <w:rPr>
          <w:rFonts w:ascii="Arial" w:eastAsia="Arial" w:hAnsi="Arial" w:cs="Arial"/>
          <w:sz w:val="24"/>
          <w:szCs w:val="24"/>
        </w:rPr>
        <w:t>rativas del Estado de Yucatán</w:t>
      </w:r>
      <w:r w:rsidR="00113D0E" w:rsidRPr="00D80C58">
        <w:rPr>
          <w:rFonts w:ascii="Arial" w:eastAsia="Arial" w:hAnsi="Arial" w:cs="Arial"/>
          <w:sz w:val="24"/>
          <w:szCs w:val="24"/>
        </w:rPr>
        <w:t xml:space="preserve"> y</w:t>
      </w:r>
      <w:r w:rsidR="00F258D0" w:rsidRPr="00D80C58">
        <w:rPr>
          <w:rFonts w:ascii="Arial" w:eastAsia="Arial" w:hAnsi="Arial" w:cs="Arial"/>
          <w:sz w:val="24"/>
          <w:szCs w:val="24"/>
        </w:rPr>
        <w:t xml:space="preserve"> en </w:t>
      </w:r>
      <w:r w:rsidR="00421E68" w:rsidRPr="00D80C58">
        <w:rPr>
          <w:rFonts w:ascii="Arial" w:eastAsia="Arial" w:hAnsi="Arial" w:cs="Arial"/>
          <w:sz w:val="24"/>
          <w:szCs w:val="24"/>
        </w:rPr>
        <w:t>el Código Penal del Estado de Yucat</w:t>
      </w:r>
      <w:r w:rsidR="00F258D0" w:rsidRPr="00D80C58">
        <w:rPr>
          <w:rFonts w:ascii="Arial" w:eastAsia="Arial" w:hAnsi="Arial" w:cs="Arial"/>
          <w:sz w:val="24"/>
          <w:szCs w:val="24"/>
        </w:rPr>
        <w:t>án; l</w:t>
      </w:r>
      <w:r w:rsidR="00421E68" w:rsidRPr="00D80C58">
        <w:rPr>
          <w:rFonts w:ascii="Arial" w:eastAsia="Arial" w:hAnsi="Arial" w:cs="Arial"/>
          <w:sz w:val="24"/>
          <w:szCs w:val="24"/>
        </w:rPr>
        <w:t xml:space="preserve">o anterior sin perjuicio de las penas, sanciones e infracciones </w:t>
      </w:r>
      <w:r w:rsidR="00113D0E" w:rsidRPr="00D80C58">
        <w:rPr>
          <w:rFonts w:ascii="Arial" w:eastAsia="Arial" w:hAnsi="Arial" w:cs="Arial"/>
          <w:sz w:val="24"/>
          <w:szCs w:val="24"/>
        </w:rPr>
        <w:t>señaladas</w:t>
      </w:r>
      <w:r w:rsidR="00421E68" w:rsidRPr="00D80C58">
        <w:rPr>
          <w:rFonts w:ascii="Arial" w:eastAsia="Arial" w:hAnsi="Arial" w:cs="Arial"/>
          <w:sz w:val="24"/>
          <w:szCs w:val="24"/>
        </w:rPr>
        <w:t xml:space="preserve"> en otras leyes</w:t>
      </w:r>
      <w:r w:rsidR="00540AE8" w:rsidRPr="00D80C58">
        <w:rPr>
          <w:rFonts w:ascii="Arial" w:eastAsia="Arial" w:hAnsi="Arial" w:cs="Arial"/>
          <w:sz w:val="24"/>
          <w:szCs w:val="24"/>
        </w:rPr>
        <w:t xml:space="preserve"> aplicables a la materia</w:t>
      </w:r>
      <w:r w:rsidR="00421E68" w:rsidRPr="00D80C58">
        <w:rPr>
          <w:rFonts w:ascii="Arial" w:eastAsia="Arial" w:hAnsi="Arial" w:cs="Arial"/>
          <w:sz w:val="24"/>
          <w:szCs w:val="24"/>
        </w:rPr>
        <w:t xml:space="preserve">. </w:t>
      </w:r>
    </w:p>
    <w:p w14:paraId="634E816C" w14:textId="77777777" w:rsidR="00973E41" w:rsidRDefault="00973E41" w:rsidP="00010798">
      <w:pPr>
        <w:spacing w:after="0"/>
        <w:ind w:left="567" w:hanging="567"/>
        <w:jc w:val="center"/>
        <w:rPr>
          <w:rFonts w:ascii="Arial" w:eastAsia="Arial" w:hAnsi="Arial" w:cs="Arial"/>
          <w:b/>
          <w:sz w:val="24"/>
          <w:szCs w:val="24"/>
        </w:rPr>
      </w:pPr>
      <w:r>
        <w:rPr>
          <w:rFonts w:ascii="Arial" w:eastAsia="Arial" w:hAnsi="Arial" w:cs="Arial"/>
          <w:b/>
          <w:sz w:val="24"/>
          <w:szCs w:val="24"/>
        </w:rPr>
        <w:t>ARTICULOS TRANSITORIOS:</w:t>
      </w:r>
    </w:p>
    <w:p w14:paraId="55C7FC40" w14:textId="77777777" w:rsidR="00973E41" w:rsidRDefault="00973E41" w:rsidP="00010798">
      <w:pPr>
        <w:spacing w:after="0"/>
        <w:ind w:left="567" w:hanging="567"/>
        <w:jc w:val="center"/>
        <w:rPr>
          <w:rFonts w:ascii="Arial" w:eastAsia="Arial" w:hAnsi="Arial" w:cs="Arial"/>
          <w:b/>
          <w:sz w:val="24"/>
          <w:szCs w:val="24"/>
        </w:rPr>
      </w:pPr>
    </w:p>
    <w:p w14:paraId="04B94E12" w14:textId="77777777" w:rsidR="00973E41" w:rsidRDefault="00973E41" w:rsidP="00010798">
      <w:pPr>
        <w:spacing w:after="0"/>
        <w:ind w:firstLine="567"/>
        <w:jc w:val="both"/>
        <w:rPr>
          <w:rFonts w:ascii="Arial" w:eastAsia="Arial" w:hAnsi="Arial" w:cs="Arial"/>
          <w:sz w:val="24"/>
          <w:szCs w:val="24"/>
        </w:rPr>
      </w:pPr>
      <w:r>
        <w:rPr>
          <w:rFonts w:ascii="Arial" w:eastAsia="Arial" w:hAnsi="Arial" w:cs="Arial"/>
          <w:b/>
          <w:sz w:val="24"/>
          <w:szCs w:val="24"/>
        </w:rPr>
        <w:t>PRIMERO</w:t>
      </w:r>
      <w:r>
        <w:rPr>
          <w:rFonts w:ascii="Arial" w:eastAsia="Arial" w:hAnsi="Arial" w:cs="Arial"/>
          <w:sz w:val="24"/>
          <w:szCs w:val="24"/>
        </w:rPr>
        <w:t>. - El presente decreto entrará en vigor al día siguiente de su publicación en el Diario Oficial del Estado.</w:t>
      </w:r>
    </w:p>
    <w:p w14:paraId="53F4AE4D" w14:textId="77777777" w:rsidR="00973E41" w:rsidRDefault="00973E41" w:rsidP="00010798">
      <w:pPr>
        <w:spacing w:after="0"/>
        <w:ind w:firstLine="567"/>
        <w:jc w:val="both"/>
        <w:rPr>
          <w:rFonts w:ascii="Arial" w:eastAsia="Arial" w:hAnsi="Arial" w:cs="Arial"/>
          <w:sz w:val="24"/>
          <w:szCs w:val="24"/>
        </w:rPr>
      </w:pPr>
    </w:p>
    <w:p w14:paraId="6751638A" w14:textId="609B1752" w:rsidR="00973E41" w:rsidRDefault="00973E41" w:rsidP="00010798">
      <w:pPr>
        <w:spacing w:after="0"/>
        <w:ind w:firstLine="567"/>
        <w:jc w:val="both"/>
        <w:rPr>
          <w:rFonts w:ascii="Arial" w:eastAsia="Arial" w:hAnsi="Arial" w:cs="Arial"/>
          <w:sz w:val="24"/>
          <w:szCs w:val="24"/>
        </w:rPr>
      </w:pPr>
      <w:r>
        <w:rPr>
          <w:rFonts w:ascii="Arial" w:eastAsia="Arial" w:hAnsi="Arial" w:cs="Arial"/>
          <w:b/>
          <w:sz w:val="24"/>
          <w:szCs w:val="24"/>
        </w:rPr>
        <w:t>SEGUNDO</w:t>
      </w:r>
      <w:r>
        <w:rPr>
          <w:rFonts w:ascii="Arial" w:eastAsia="Arial" w:hAnsi="Arial" w:cs="Arial"/>
          <w:sz w:val="24"/>
          <w:szCs w:val="24"/>
        </w:rPr>
        <w:t>. -Se derogan las disposiciones de igual o menor jerarquía en lo que se opongan a lo establecido en este decreto.</w:t>
      </w:r>
    </w:p>
    <w:p w14:paraId="38649AFF" w14:textId="77777777" w:rsidR="00973E41" w:rsidRDefault="00973E41" w:rsidP="00010798">
      <w:pPr>
        <w:spacing w:after="0"/>
        <w:ind w:firstLine="567"/>
        <w:jc w:val="both"/>
        <w:rPr>
          <w:rFonts w:ascii="Arial" w:eastAsia="Arial" w:hAnsi="Arial" w:cs="Arial"/>
          <w:sz w:val="24"/>
          <w:szCs w:val="24"/>
        </w:rPr>
      </w:pPr>
    </w:p>
    <w:p w14:paraId="021FC67D" w14:textId="7C2EDBD5" w:rsidR="00973E41" w:rsidRDefault="00973E41" w:rsidP="00010798">
      <w:pPr>
        <w:spacing w:after="0"/>
        <w:ind w:firstLine="708"/>
        <w:jc w:val="both"/>
        <w:rPr>
          <w:rFonts w:ascii="Arial" w:eastAsia="Arial" w:hAnsi="Arial" w:cs="Arial"/>
          <w:sz w:val="24"/>
          <w:szCs w:val="24"/>
        </w:rPr>
      </w:pPr>
      <w:r>
        <w:rPr>
          <w:rFonts w:ascii="Arial" w:eastAsia="Arial" w:hAnsi="Arial" w:cs="Arial"/>
          <w:sz w:val="24"/>
          <w:szCs w:val="24"/>
        </w:rPr>
        <w:t xml:space="preserve">Protestamos lo necesario en la ciudad de Mérida, Yucatán a los </w:t>
      </w:r>
      <w:r w:rsidR="00D80C58">
        <w:rPr>
          <w:rFonts w:ascii="Arial" w:eastAsia="Arial" w:hAnsi="Arial" w:cs="Arial"/>
          <w:sz w:val="24"/>
          <w:szCs w:val="24"/>
        </w:rPr>
        <w:t xml:space="preserve">veinticuatro </w:t>
      </w:r>
      <w:r>
        <w:rPr>
          <w:rFonts w:ascii="Arial" w:eastAsia="Arial" w:hAnsi="Arial" w:cs="Arial"/>
          <w:sz w:val="24"/>
          <w:szCs w:val="24"/>
        </w:rPr>
        <w:t>días del mes de noviembre del año 2021.</w:t>
      </w:r>
    </w:p>
    <w:p w14:paraId="180E6A4D" w14:textId="77777777" w:rsidR="00973E41" w:rsidRDefault="00973E41" w:rsidP="00973E41">
      <w:pPr>
        <w:spacing w:after="0" w:line="240" w:lineRule="auto"/>
        <w:ind w:firstLine="708"/>
        <w:jc w:val="both"/>
        <w:rPr>
          <w:rFonts w:ascii="Arial" w:eastAsia="Arial" w:hAnsi="Arial" w:cs="Arial"/>
          <w:sz w:val="24"/>
          <w:szCs w:val="24"/>
        </w:rPr>
      </w:pPr>
    </w:p>
    <w:tbl>
      <w:tblPr>
        <w:tblStyle w:val="Tablanormal1"/>
        <w:tblpPr w:leftFromText="141" w:rightFromText="141" w:vertAnchor="text" w:horzAnchor="margin" w:tblpXSpec="center" w:tblpY="212"/>
        <w:tblW w:w="73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3681"/>
      </w:tblGrid>
      <w:tr w:rsidR="0037267C" w:rsidRPr="005E47C2" w14:paraId="72D17720" w14:textId="77777777" w:rsidTr="0037267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noWrap/>
            <w:hideMark/>
          </w:tcPr>
          <w:p w14:paraId="697C68ED" w14:textId="77777777" w:rsidR="0037267C" w:rsidRPr="0037267C" w:rsidRDefault="0037267C" w:rsidP="0037267C">
            <w:pPr>
              <w:jc w:val="center"/>
              <w:rPr>
                <w:rFonts w:eastAsia="Times New Roman"/>
                <w:sz w:val="22"/>
                <w:szCs w:val="22"/>
                <w:lang w:eastAsia="es-MX"/>
              </w:rPr>
            </w:pPr>
            <w:r w:rsidRPr="0037267C">
              <w:rPr>
                <w:rFonts w:eastAsia="Times New Roman"/>
                <w:sz w:val="22"/>
                <w:szCs w:val="22"/>
                <w:lang w:eastAsia="es-MX"/>
              </w:rPr>
              <w:t>DIP. ERIK JOSÉ RIHANI GONZÁLEZ</w:t>
            </w:r>
          </w:p>
        </w:tc>
        <w:tc>
          <w:tcPr>
            <w:tcW w:w="3681" w:type="dxa"/>
            <w:shd w:val="clear" w:color="auto" w:fill="auto"/>
          </w:tcPr>
          <w:p w14:paraId="64D24C99" w14:textId="77777777" w:rsidR="0037267C" w:rsidRPr="0037267C" w:rsidRDefault="0037267C" w:rsidP="0037267C">
            <w:pPr>
              <w:jc w:val="center"/>
              <w:cnfStyle w:val="100000000000" w:firstRow="1" w:lastRow="0" w:firstColumn="0" w:lastColumn="0" w:oddVBand="0" w:evenVBand="0" w:oddHBand="0" w:evenHBand="0" w:firstRowFirstColumn="0" w:firstRowLastColumn="0" w:lastRowFirstColumn="0" w:lastRowLastColumn="0"/>
              <w:rPr>
                <w:rFonts w:eastAsia="Times New Roman"/>
                <w:sz w:val="22"/>
                <w:lang w:eastAsia="es-MX"/>
              </w:rPr>
            </w:pPr>
            <w:r w:rsidRPr="0037267C">
              <w:rPr>
                <w:rFonts w:eastAsia="Times New Roman"/>
                <w:sz w:val="22"/>
                <w:szCs w:val="22"/>
                <w:lang w:eastAsia="es-MX"/>
              </w:rPr>
              <w:t>DIP. VICTOR HUGO LOZANO POVEDA</w:t>
            </w:r>
          </w:p>
        </w:tc>
      </w:tr>
      <w:tr w:rsidR="0037267C" w:rsidRPr="005E47C2" w14:paraId="51FB5C96" w14:textId="77777777" w:rsidTr="00372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noWrap/>
            <w:hideMark/>
          </w:tcPr>
          <w:p w14:paraId="68D3F5E4" w14:textId="77777777" w:rsidR="0037267C" w:rsidRPr="0037267C" w:rsidRDefault="0037267C" w:rsidP="0037267C">
            <w:pPr>
              <w:jc w:val="center"/>
              <w:rPr>
                <w:rFonts w:eastAsia="Times New Roman"/>
                <w:sz w:val="22"/>
                <w:szCs w:val="22"/>
                <w:lang w:eastAsia="es-MX"/>
              </w:rPr>
            </w:pPr>
          </w:p>
          <w:p w14:paraId="54387A4C" w14:textId="77777777" w:rsidR="0037267C" w:rsidRPr="0037267C" w:rsidRDefault="0037267C" w:rsidP="0037267C">
            <w:pPr>
              <w:jc w:val="center"/>
              <w:rPr>
                <w:rFonts w:eastAsia="Times New Roman"/>
                <w:sz w:val="22"/>
                <w:szCs w:val="22"/>
                <w:lang w:eastAsia="es-MX"/>
              </w:rPr>
            </w:pPr>
          </w:p>
          <w:p w14:paraId="268D21FE" w14:textId="77777777" w:rsidR="0037267C" w:rsidRPr="0037267C" w:rsidRDefault="0037267C" w:rsidP="0037267C">
            <w:pPr>
              <w:jc w:val="center"/>
              <w:rPr>
                <w:rFonts w:eastAsia="Times New Roman"/>
                <w:sz w:val="22"/>
                <w:szCs w:val="22"/>
                <w:lang w:eastAsia="es-MX"/>
              </w:rPr>
            </w:pPr>
            <w:r w:rsidRPr="0037267C">
              <w:rPr>
                <w:rFonts w:eastAsia="Times New Roman"/>
                <w:sz w:val="22"/>
                <w:szCs w:val="22"/>
                <w:lang w:eastAsia="es-MX"/>
              </w:rPr>
              <w:t>DIP. ABRIL FERREYRO ROSADO</w:t>
            </w:r>
          </w:p>
        </w:tc>
        <w:tc>
          <w:tcPr>
            <w:tcW w:w="3681" w:type="dxa"/>
            <w:shd w:val="clear" w:color="auto" w:fill="auto"/>
          </w:tcPr>
          <w:p w14:paraId="0F5DD1E9" w14:textId="77777777" w:rsidR="0037267C" w:rsidRPr="0037267C" w:rsidRDefault="0037267C" w:rsidP="0037267C">
            <w:pPr>
              <w:jc w:val="center"/>
              <w:cnfStyle w:val="000000100000" w:firstRow="0" w:lastRow="0" w:firstColumn="0" w:lastColumn="0" w:oddVBand="0" w:evenVBand="0" w:oddHBand="1" w:evenHBand="0" w:firstRowFirstColumn="0" w:firstRowLastColumn="0" w:lastRowFirstColumn="0" w:lastRowLastColumn="0"/>
              <w:rPr>
                <w:rFonts w:eastAsia="Times New Roman"/>
                <w:b/>
                <w:sz w:val="22"/>
                <w:szCs w:val="22"/>
                <w:lang w:eastAsia="es-MX"/>
              </w:rPr>
            </w:pPr>
          </w:p>
          <w:p w14:paraId="2306BAC9" w14:textId="77777777" w:rsidR="0037267C" w:rsidRPr="0037267C" w:rsidRDefault="0037267C" w:rsidP="0037267C">
            <w:pPr>
              <w:jc w:val="center"/>
              <w:cnfStyle w:val="000000100000" w:firstRow="0" w:lastRow="0" w:firstColumn="0" w:lastColumn="0" w:oddVBand="0" w:evenVBand="0" w:oddHBand="1" w:evenHBand="0" w:firstRowFirstColumn="0" w:firstRowLastColumn="0" w:lastRowFirstColumn="0" w:lastRowLastColumn="0"/>
              <w:rPr>
                <w:rFonts w:eastAsia="Times New Roman"/>
                <w:b/>
                <w:sz w:val="22"/>
                <w:szCs w:val="22"/>
                <w:lang w:eastAsia="es-MX"/>
              </w:rPr>
            </w:pPr>
          </w:p>
          <w:p w14:paraId="1D4A99CF" w14:textId="77777777" w:rsidR="0037267C" w:rsidRPr="0037267C" w:rsidRDefault="0037267C" w:rsidP="0037267C">
            <w:pPr>
              <w:jc w:val="center"/>
              <w:cnfStyle w:val="000000100000" w:firstRow="0" w:lastRow="0" w:firstColumn="0" w:lastColumn="0" w:oddVBand="0" w:evenVBand="0" w:oddHBand="1" w:evenHBand="0" w:firstRowFirstColumn="0" w:firstRowLastColumn="0" w:lastRowFirstColumn="0" w:lastRowLastColumn="0"/>
              <w:rPr>
                <w:rFonts w:eastAsia="Times New Roman"/>
                <w:b/>
                <w:sz w:val="22"/>
                <w:lang w:eastAsia="es-MX"/>
              </w:rPr>
            </w:pPr>
            <w:r w:rsidRPr="0037267C">
              <w:rPr>
                <w:rFonts w:eastAsia="Times New Roman"/>
                <w:b/>
                <w:sz w:val="22"/>
                <w:szCs w:val="22"/>
                <w:lang w:eastAsia="es-MX"/>
              </w:rPr>
              <w:t>DIP. KAREM FARIDE ACHACH RAMÍREZ</w:t>
            </w:r>
          </w:p>
        </w:tc>
      </w:tr>
      <w:tr w:rsidR="0037267C" w:rsidRPr="005E47C2" w14:paraId="5021ECB2" w14:textId="77777777" w:rsidTr="0037267C">
        <w:trPr>
          <w:trHeight w:val="300"/>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noWrap/>
            <w:hideMark/>
          </w:tcPr>
          <w:p w14:paraId="331BBDC9" w14:textId="77777777" w:rsidR="0037267C" w:rsidRPr="0037267C" w:rsidRDefault="0037267C" w:rsidP="0037267C">
            <w:pPr>
              <w:jc w:val="center"/>
              <w:rPr>
                <w:rFonts w:eastAsia="Times New Roman"/>
                <w:sz w:val="22"/>
                <w:szCs w:val="22"/>
                <w:lang w:eastAsia="es-MX"/>
              </w:rPr>
            </w:pPr>
          </w:p>
          <w:p w14:paraId="4A4C92F3" w14:textId="77777777" w:rsidR="0037267C" w:rsidRPr="0037267C" w:rsidRDefault="0037267C" w:rsidP="0037267C">
            <w:pPr>
              <w:jc w:val="center"/>
              <w:rPr>
                <w:rFonts w:eastAsia="Times New Roman"/>
                <w:sz w:val="22"/>
                <w:szCs w:val="22"/>
                <w:lang w:eastAsia="es-MX"/>
              </w:rPr>
            </w:pPr>
            <w:r w:rsidRPr="0037267C">
              <w:rPr>
                <w:rFonts w:eastAsia="Times New Roman"/>
                <w:sz w:val="22"/>
                <w:szCs w:val="22"/>
                <w:lang w:eastAsia="es-MX"/>
              </w:rPr>
              <w:lastRenderedPageBreak/>
              <w:t>DIP. KARLA VANESSA SALAZAR GONZÁLEZ</w:t>
            </w:r>
          </w:p>
        </w:tc>
        <w:tc>
          <w:tcPr>
            <w:tcW w:w="3681" w:type="dxa"/>
            <w:shd w:val="clear" w:color="auto" w:fill="auto"/>
          </w:tcPr>
          <w:p w14:paraId="76AE4054" w14:textId="77777777" w:rsidR="0037267C" w:rsidRPr="0037267C" w:rsidRDefault="0037267C" w:rsidP="0037267C">
            <w:pPr>
              <w:jc w:val="center"/>
              <w:cnfStyle w:val="000000000000" w:firstRow="0" w:lastRow="0" w:firstColumn="0" w:lastColumn="0" w:oddVBand="0" w:evenVBand="0" w:oddHBand="0" w:evenHBand="0" w:firstRowFirstColumn="0" w:firstRowLastColumn="0" w:lastRowFirstColumn="0" w:lastRowLastColumn="0"/>
              <w:rPr>
                <w:rFonts w:eastAsia="Times New Roman"/>
                <w:b/>
                <w:sz w:val="22"/>
                <w:szCs w:val="22"/>
                <w:lang w:eastAsia="es-MX"/>
              </w:rPr>
            </w:pPr>
          </w:p>
          <w:p w14:paraId="15E6BE5F" w14:textId="77777777" w:rsidR="0037267C" w:rsidRPr="0037267C" w:rsidRDefault="0037267C" w:rsidP="0037267C">
            <w:pPr>
              <w:jc w:val="center"/>
              <w:cnfStyle w:val="000000000000" w:firstRow="0" w:lastRow="0" w:firstColumn="0" w:lastColumn="0" w:oddVBand="0" w:evenVBand="0" w:oddHBand="0" w:evenHBand="0" w:firstRowFirstColumn="0" w:firstRowLastColumn="0" w:lastRowFirstColumn="0" w:lastRowLastColumn="0"/>
              <w:rPr>
                <w:rFonts w:eastAsia="Times New Roman"/>
                <w:b/>
                <w:sz w:val="22"/>
                <w:lang w:eastAsia="es-MX"/>
              </w:rPr>
            </w:pPr>
            <w:r w:rsidRPr="0037267C">
              <w:rPr>
                <w:rFonts w:eastAsia="Times New Roman"/>
                <w:b/>
                <w:sz w:val="22"/>
                <w:szCs w:val="22"/>
                <w:lang w:eastAsia="es-MX"/>
              </w:rPr>
              <w:lastRenderedPageBreak/>
              <w:t>DIP. JESÚS EFREN PEREZ BALLOTE</w:t>
            </w:r>
          </w:p>
        </w:tc>
      </w:tr>
      <w:tr w:rsidR="0037267C" w:rsidRPr="005E47C2" w14:paraId="5AE013E7" w14:textId="77777777" w:rsidTr="00372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noWrap/>
            <w:hideMark/>
          </w:tcPr>
          <w:p w14:paraId="40824C9E" w14:textId="77777777" w:rsidR="0037267C" w:rsidRPr="0037267C" w:rsidRDefault="0037267C" w:rsidP="0037267C">
            <w:pPr>
              <w:jc w:val="center"/>
              <w:rPr>
                <w:rFonts w:eastAsia="Times New Roman"/>
                <w:sz w:val="22"/>
                <w:szCs w:val="22"/>
                <w:lang w:eastAsia="es-MX"/>
              </w:rPr>
            </w:pPr>
          </w:p>
          <w:p w14:paraId="14AD28BC" w14:textId="77777777" w:rsidR="0037267C" w:rsidRPr="0037267C" w:rsidRDefault="0037267C" w:rsidP="0037267C">
            <w:pPr>
              <w:jc w:val="center"/>
              <w:rPr>
                <w:rFonts w:eastAsia="Times New Roman"/>
                <w:sz w:val="22"/>
                <w:szCs w:val="22"/>
                <w:lang w:eastAsia="es-MX"/>
              </w:rPr>
            </w:pPr>
          </w:p>
          <w:p w14:paraId="61C22F13" w14:textId="77777777" w:rsidR="0037267C" w:rsidRPr="0037267C" w:rsidRDefault="0037267C" w:rsidP="0037267C">
            <w:pPr>
              <w:jc w:val="center"/>
              <w:rPr>
                <w:rFonts w:eastAsia="Times New Roman"/>
                <w:sz w:val="22"/>
                <w:szCs w:val="22"/>
                <w:lang w:eastAsia="es-MX"/>
              </w:rPr>
            </w:pPr>
            <w:r w:rsidRPr="0037267C">
              <w:rPr>
                <w:rFonts w:eastAsia="Times New Roman"/>
                <w:sz w:val="22"/>
                <w:szCs w:val="22"/>
                <w:lang w:eastAsia="es-MX"/>
              </w:rPr>
              <w:t>DIP. DAFNE CELINA LÓPEZ OSORIO</w:t>
            </w:r>
          </w:p>
        </w:tc>
        <w:tc>
          <w:tcPr>
            <w:tcW w:w="3681" w:type="dxa"/>
            <w:shd w:val="clear" w:color="auto" w:fill="auto"/>
          </w:tcPr>
          <w:p w14:paraId="7194D865" w14:textId="77777777" w:rsidR="0037267C" w:rsidRPr="0037267C" w:rsidRDefault="0037267C" w:rsidP="0037267C">
            <w:pPr>
              <w:jc w:val="center"/>
              <w:cnfStyle w:val="000000100000" w:firstRow="0" w:lastRow="0" w:firstColumn="0" w:lastColumn="0" w:oddVBand="0" w:evenVBand="0" w:oddHBand="1" w:evenHBand="0" w:firstRowFirstColumn="0" w:firstRowLastColumn="0" w:lastRowFirstColumn="0" w:lastRowLastColumn="0"/>
              <w:rPr>
                <w:rFonts w:eastAsia="Times New Roman"/>
                <w:b/>
                <w:sz w:val="22"/>
                <w:szCs w:val="22"/>
                <w:lang w:val="pt-BR" w:eastAsia="es-MX"/>
              </w:rPr>
            </w:pPr>
          </w:p>
          <w:p w14:paraId="52007C87" w14:textId="77777777" w:rsidR="0037267C" w:rsidRPr="0037267C" w:rsidRDefault="0037267C" w:rsidP="0037267C">
            <w:pPr>
              <w:jc w:val="center"/>
              <w:cnfStyle w:val="000000100000" w:firstRow="0" w:lastRow="0" w:firstColumn="0" w:lastColumn="0" w:oddVBand="0" w:evenVBand="0" w:oddHBand="1" w:evenHBand="0" w:firstRowFirstColumn="0" w:firstRowLastColumn="0" w:lastRowFirstColumn="0" w:lastRowLastColumn="0"/>
              <w:rPr>
                <w:rFonts w:eastAsia="Times New Roman"/>
                <w:b/>
                <w:sz w:val="22"/>
                <w:szCs w:val="22"/>
                <w:lang w:val="pt-BR" w:eastAsia="es-MX"/>
              </w:rPr>
            </w:pPr>
          </w:p>
          <w:p w14:paraId="763E9B7D" w14:textId="77777777" w:rsidR="0037267C" w:rsidRPr="0037267C" w:rsidRDefault="0037267C" w:rsidP="0037267C">
            <w:pPr>
              <w:jc w:val="center"/>
              <w:cnfStyle w:val="000000100000" w:firstRow="0" w:lastRow="0" w:firstColumn="0" w:lastColumn="0" w:oddVBand="0" w:evenVBand="0" w:oddHBand="1" w:evenHBand="0" w:firstRowFirstColumn="0" w:firstRowLastColumn="0" w:lastRowFirstColumn="0" w:lastRowLastColumn="0"/>
              <w:rPr>
                <w:rFonts w:eastAsia="Times New Roman"/>
                <w:b/>
                <w:sz w:val="22"/>
                <w:lang w:eastAsia="es-MX"/>
              </w:rPr>
            </w:pPr>
            <w:r w:rsidRPr="0037267C">
              <w:rPr>
                <w:rFonts w:eastAsia="Times New Roman"/>
                <w:b/>
                <w:sz w:val="22"/>
                <w:szCs w:val="22"/>
                <w:lang w:val="pt-BR" w:eastAsia="es-MX"/>
              </w:rPr>
              <w:t>DIP. MANUELA DE JESÚS COCOM BOLIO</w:t>
            </w:r>
          </w:p>
        </w:tc>
      </w:tr>
      <w:tr w:rsidR="0037267C" w:rsidRPr="005E47C2" w14:paraId="327333FE" w14:textId="77777777" w:rsidTr="0037267C">
        <w:trPr>
          <w:trHeight w:val="300"/>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noWrap/>
            <w:hideMark/>
          </w:tcPr>
          <w:p w14:paraId="61686ABE" w14:textId="77777777" w:rsidR="0037267C" w:rsidRPr="0037267C" w:rsidRDefault="0037267C" w:rsidP="0037267C">
            <w:pPr>
              <w:jc w:val="center"/>
              <w:rPr>
                <w:rFonts w:eastAsia="Times New Roman"/>
                <w:sz w:val="22"/>
                <w:szCs w:val="22"/>
                <w:lang w:eastAsia="es-MX"/>
              </w:rPr>
            </w:pPr>
          </w:p>
          <w:p w14:paraId="77B624C6" w14:textId="77777777" w:rsidR="0037267C" w:rsidRPr="0037267C" w:rsidRDefault="0037267C" w:rsidP="0037267C">
            <w:pPr>
              <w:jc w:val="center"/>
              <w:rPr>
                <w:rFonts w:eastAsia="Times New Roman"/>
                <w:sz w:val="22"/>
                <w:szCs w:val="22"/>
                <w:lang w:eastAsia="es-MX"/>
              </w:rPr>
            </w:pPr>
          </w:p>
          <w:p w14:paraId="7DD3F574" w14:textId="77777777" w:rsidR="0037267C" w:rsidRPr="0037267C" w:rsidRDefault="0037267C" w:rsidP="0037267C">
            <w:pPr>
              <w:jc w:val="center"/>
              <w:rPr>
                <w:rFonts w:eastAsia="Times New Roman"/>
                <w:sz w:val="22"/>
                <w:szCs w:val="22"/>
                <w:lang w:eastAsia="es-MX"/>
              </w:rPr>
            </w:pPr>
            <w:r w:rsidRPr="0037267C">
              <w:rPr>
                <w:rFonts w:eastAsia="Times New Roman"/>
                <w:sz w:val="22"/>
                <w:szCs w:val="22"/>
                <w:lang w:eastAsia="es-MX"/>
              </w:rPr>
              <w:t>DIP. LUIS RENE FERNÁNDEZ VIDAL</w:t>
            </w:r>
          </w:p>
        </w:tc>
        <w:tc>
          <w:tcPr>
            <w:tcW w:w="3681" w:type="dxa"/>
            <w:shd w:val="clear" w:color="auto" w:fill="auto"/>
          </w:tcPr>
          <w:p w14:paraId="477C5BB3" w14:textId="77777777" w:rsidR="0037267C" w:rsidRPr="0037267C" w:rsidRDefault="0037267C" w:rsidP="0037267C">
            <w:pPr>
              <w:jc w:val="center"/>
              <w:cnfStyle w:val="000000000000" w:firstRow="0" w:lastRow="0" w:firstColumn="0" w:lastColumn="0" w:oddVBand="0" w:evenVBand="0" w:oddHBand="0" w:evenHBand="0" w:firstRowFirstColumn="0" w:firstRowLastColumn="0" w:lastRowFirstColumn="0" w:lastRowLastColumn="0"/>
              <w:rPr>
                <w:rFonts w:eastAsia="Times New Roman"/>
                <w:b/>
                <w:sz w:val="22"/>
                <w:szCs w:val="22"/>
                <w:lang w:eastAsia="es-MX"/>
              </w:rPr>
            </w:pPr>
          </w:p>
          <w:p w14:paraId="21ADC90D" w14:textId="77777777" w:rsidR="0037267C" w:rsidRPr="0037267C" w:rsidRDefault="0037267C" w:rsidP="0037267C">
            <w:pPr>
              <w:jc w:val="center"/>
              <w:cnfStyle w:val="000000000000" w:firstRow="0" w:lastRow="0" w:firstColumn="0" w:lastColumn="0" w:oddVBand="0" w:evenVBand="0" w:oddHBand="0" w:evenHBand="0" w:firstRowFirstColumn="0" w:firstRowLastColumn="0" w:lastRowFirstColumn="0" w:lastRowLastColumn="0"/>
              <w:rPr>
                <w:rFonts w:eastAsia="Times New Roman"/>
                <w:b/>
                <w:sz w:val="22"/>
                <w:szCs w:val="22"/>
                <w:lang w:eastAsia="es-MX"/>
              </w:rPr>
            </w:pPr>
          </w:p>
          <w:p w14:paraId="08D6C5E9" w14:textId="77777777" w:rsidR="0037267C" w:rsidRPr="0037267C" w:rsidRDefault="0037267C" w:rsidP="0037267C">
            <w:pPr>
              <w:jc w:val="center"/>
              <w:cnfStyle w:val="000000000000" w:firstRow="0" w:lastRow="0" w:firstColumn="0" w:lastColumn="0" w:oddVBand="0" w:evenVBand="0" w:oddHBand="0" w:evenHBand="0" w:firstRowFirstColumn="0" w:firstRowLastColumn="0" w:lastRowFirstColumn="0" w:lastRowLastColumn="0"/>
              <w:rPr>
                <w:rFonts w:eastAsia="Times New Roman"/>
                <w:b/>
                <w:sz w:val="22"/>
                <w:lang w:eastAsia="es-MX"/>
              </w:rPr>
            </w:pPr>
            <w:r w:rsidRPr="0037267C">
              <w:rPr>
                <w:rFonts w:eastAsia="Times New Roman"/>
                <w:b/>
                <w:sz w:val="22"/>
                <w:szCs w:val="22"/>
                <w:lang w:eastAsia="es-MX"/>
              </w:rPr>
              <w:t>DIP. ESTEBAN ABRAHAM MACARÍ</w:t>
            </w:r>
          </w:p>
        </w:tc>
      </w:tr>
      <w:tr w:rsidR="0037267C" w:rsidRPr="001275A1" w14:paraId="70A2559F" w14:textId="77777777" w:rsidTr="003726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noWrap/>
            <w:hideMark/>
          </w:tcPr>
          <w:p w14:paraId="089E6188" w14:textId="77777777" w:rsidR="0037267C" w:rsidRPr="0037267C" w:rsidRDefault="0037267C" w:rsidP="0037267C">
            <w:pPr>
              <w:jc w:val="center"/>
              <w:rPr>
                <w:rFonts w:eastAsia="Times New Roman"/>
                <w:sz w:val="22"/>
                <w:szCs w:val="22"/>
                <w:lang w:eastAsia="es-MX"/>
              </w:rPr>
            </w:pPr>
          </w:p>
          <w:p w14:paraId="480041CB" w14:textId="77777777" w:rsidR="0037267C" w:rsidRPr="0037267C" w:rsidRDefault="0037267C" w:rsidP="0037267C">
            <w:pPr>
              <w:jc w:val="center"/>
              <w:rPr>
                <w:rFonts w:eastAsia="Times New Roman"/>
                <w:sz w:val="22"/>
                <w:szCs w:val="22"/>
                <w:lang w:eastAsia="es-MX"/>
              </w:rPr>
            </w:pPr>
          </w:p>
          <w:p w14:paraId="3F10521B" w14:textId="3B29A734" w:rsidR="0037267C" w:rsidRPr="0037267C" w:rsidRDefault="0037267C" w:rsidP="0037267C">
            <w:pPr>
              <w:jc w:val="center"/>
              <w:rPr>
                <w:rFonts w:eastAsia="Times New Roman"/>
                <w:sz w:val="22"/>
                <w:szCs w:val="22"/>
                <w:lang w:val="pt-BR" w:eastAsia="es-MX"/>
              </w:rPr>
            </w:pPr>
            <w:r w:rsidRPr="0037267C">
              <w:rPr>
                <w:rFonts w:eastAsia="Times New Roman"/>
                <w:sz w:val="22"/>
                <w:szCs w:val="22"/>
                <w:lang w:eastAsia="es-MX"/>
              </w:rPr>
              <w:t>DIP. RAÚL ANTONIO ROMERO CHEL</w:t>
            </w:r>
          </w:p>
        </w:tc>
        <w:tc>
          <w:tcPr>
            <w:tcW w:w="3681" w:type="dxa"/>
            <w:shd w:val="clear" w:color="auto" w:fill="auto"/>
          </w:tcPr>
          <w:p w14:paraId="702ABC62" w14:textId="77777777" w:rsidR="0037267C" w:rsidRPr="0037267C" w:rsidRDefault="0037267C" w:rsidP="0037267C">
            <w:pPr>
              <w:jc w:val="center"/>
              <w:cnfStyle w:val="000000100000" w:firstRow="0" w:lastRow="0" w:firstColumn="0" w:lastColumn="0" w:oddVBand="0" w:evenVBand="0" w:oddHBand="1" w:evenHBand="0" w:firstRowFirstColumn="0" w:firstRowLastColumn="0" w:lastRowFirstColumn="0" w:lastRowLastColumn="0"/>
              <w:rPr>
                <w:rFonts w:eastAsia="Times New Roman"/>
                <w:b/>
                <w:sz w:val="22"/>
                <w:szCs w:val="22"/>
                <w:lang w:eastAsia="es-MX"/>
              </w:rPr>
            </w:pPr>
          </w:p>
          <w:p w14:paraId="4CE8E2A9" w14:textId="77777777" w:rsidR="0037267C" w:rsidRPr="0037267C" w:rsidRDefault="0037267C" w:rsidP="0037267C">
            <w:pPr>
              <w:jc w:val="center"/>
              <w:cnfStyle w:val="000000100000" w:firstRow="0" w:lastRow="0" w:firstColumn="0" w:lastColumn="0" w:oddVBand="0" w:evenVBand="0" w:oddHBand="1" w:evenHBand="0" w:firstRowFirstColumn="0" w:firstRowLastColumn="0" w:lastRowFirstColumn="0" w:lastRowLastColumn="0"/>
              <w:rPr>
                <w:rFonts w:eastAsia="Times New Roman"/>
                <w:b/>
                <w:sz w:val="22"/>
                <w:szCs w:val="22"/>
                <w:lang w:eastAsia="es-MX"/>
              </w:rPr>
            </w:pPr>
          </w:p>
          <w:p w14:paraId="3289EEFE" w14:textId="77777777" w:rsidR="0037267C" w:rsidRPr="0037267C" w:rsidRDefault="0037267C" w:rsidP="0037267C">
            <w:pPr>
              <w:jc w:val="center"/>
              <w:cnfStyle w:val="000000100000" w:firstRow="0" w:lastRow="0" w:firstColumn="0" w:lastColumn="0" w:oddVBand="0" w:evenVBand="0" w:oddHBand="1" w:evenHBand="0" w:firstRowFirstColumn="0" w:firstRowLastColumn="0" w:lastRowFirstColumn="0" w:lastRowLastColumn="0"/>
              <w:rPr>
                <w:rFonts w:eastAsia="Times New Roman"/>
                <w:b/>
                <w:sz w:val="22"/>
                <w:lang w:val="pt-BR" w:eastAsia="es-MX"/>
              </w:rPr>
            </w:pPr>
            <w:r w:rsidRPr="0037267C">
              <w:rPr>
                <w:rFonts w:eastAsia="Times New Roman"/>
                <w:b/>
                <w:sz w:val="22"/>
                <w:szCs w:val="22"/>
                <w:lang w:eastAsia="es-MX"/>
              </w:rPr>
              <w:t>DIP. CARMEN GUADALUPE GONZÁLEZ MARTIN</w:t>
            </w:r>
          </w:p>
        </w:tc>
      </w:tr>
      <w:tr w:rsidR="0037267C" w:rsidRPr="005E47C2" w14:paraId="01A6455C" w14:textId="77777777" w:rsidTr="0037267C">
        <w:trPr>
          <w:trHeight w:val="300"/>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noWrap/>
            <w:hideMark/>
          </w:tcPr>
          <w:p w14:paraId="1EBB9C51" w14:textId="77777777" w:rsidR="0037267C" w:rsidRPr="0037267C" w:rsidRDefault="0037267C" w:rsidP="0037267C">
            <w:pPr>
              <w:jc w:val="center"/>
              <w:rPr>
                <w:rFonts w:eastAsia="Times New Roman"/>
                <w:sz w:val="22"/>
                <w:szCs w:val="22"/>
                <w:lang w:eastAsia="es-MX"/>
              </w:rPr>
            </w:pPr>
          </w:p>
          <w:p w14:paraId="1D4C460A" w14:textId="77777777" w:rsidR="0037267C" w:rsidRPr="0037267C" w:rsidRDefault="0037267C" w:rsidP="0037267C">
            <w:pPr>
              <w:jc w:val="center"/>
              <w:rPr>
                <w:rFonts w:eastAsia="Times New Roman"/>
                <w:sz w:val="22"/>
                <w:szCs w:val="22"/>
                <w:lang w:eastAsia="es-MX"/>
              </w:rPr>
            </w:pPr>
          </w:p>
          <w:p w14:paraId="1E68841A" w14:textId="77777777" w:rsidR="0037267C" w:rsidRPr="0037267C" w:rsidRDefault="0037267C" w:rsidP="0037267C">
            <w:pPr>
              <w:jc w:val="center"/>
              <w:rPr>
                <w:rFonts w:eastAsia="Times New Roman"/>
                <w:sz w:val="22"/>
                <w:szCs w:val="22"/>
                <w:lang w:eastAsia="es-MX"/>
              </w:rPr>
            </w:pPr>
            <w:r w:rsidRPr="0037267C">
              <w:rPr>
                <w:rFonts w:eastAsia="Times New Roman"/>
                <w:sz w:val="22"/>
                <w:szCs w:val="22"/>
                <w:lang w:eastAsia="es-MX"/>
              </w:rPr>
              <w:t>DIP. MELBA ROSANA GAMBOA ÁVILA</w:t>
            </w:r>
          </w:p>
        </w:tc>
        <w:tc>
          <w:tcPr>
            <w:tcW w:w="3681" w:type="dxa"/>
            <w:shd w:val="clear" w:color="auto" w:fill="auto"/>
          </w:tcPr>
          <w:p w14:paraId="2AA0A786" w14:textId="77777777" w:rsidR="0037267C" w:rsidRPr="0037267C" w:rsidRDefault="0037267C" w:rsidP="0037267C">
            <w:pPr>
              <w:jc w:val="center"/>
              <w:cnfStyle w:val="000000000000" w:firstRow="0" w:lastRow="0" w:firstColumn="0" w:lastColumn="0" w:oddVBand="0" w:evenVBand="0" w:oddHBand="0" w:evenHBand="0" w:firstRowFirstColumn="0" w:firstRowLastColumn="0" w:lastRowFirstColumn="0" w:lastRowLastColumn="0"/>
              <w:rPr>
                <w:rFonts w:eastAsia="Times New Roman"/>
                <w:b/>
                <w:sz w:val="22"/>
                <w:szCs w:val="22"/>
                <w:lang w:eastAsia="es-MX"/>
              </w:rPr>
            </w:pPr>
          </w:p>
          <w:p w14:paraId="12279C8B" w14:textId="77777777" w:rsidR="0037267C" w:rsidRPr="0037267C" w:rsidRDefault="0037267C" w:rsidP="0037267C">
            <w:pPr>
              <w:jc w:val="center"/>
              <w:cnfStyle w:val="000000000000" w:firstRow="0" w:lastRow="0" w:firstColumn="0" w:lastColumn="0" w:oddVBand="0" w:evenVBand="0" w:oddHBand="0" w:evenHBand="0" w:firstRowFirstColumn="0" w:firstRowLastColumn="0" w:lastRowFirstColumn="0" w:lastRowLastColumn="0"/>
              <w:rPr>
                <w:rFonts w:eastAsia="Times New Roman"/>
                <w:b/>
                <w:sz w:val="22"/>
                <w:szCs w:val="22"/>
                <w:lang w:eastAsia="es-MX"/>
              </w:rPr>
            </w:pPr>
          </w:p>
          <w:p w14:paraId="70477D7E" w14:textId="77777777" w:rsidR="0037267C" w:rsidRPr="0037267C" w:rsidRDefault="0037267C" w:rsidP="0037267C">
            <w:pPr>
              <w:jc w:val="center"/>
              <w:cnfStyle w:val="000000000000" w:firstRow="0" w:lastRow="0" w:firstColumn="0" w:lastColumn="0" w:oddVBand="0" w:evenVBand="0" w:oddHBand="0" w:evenHBand="0" w:firstRowFirstColumn="0" w:firstRowLastColumn="0" w:lastRowFirstColumn="0" w:lastRowLastColumn="0"/>
              <w:rPr>
                <w:rFonts w:eastAsia="Times New Roman"/>
                <w:b/>
                <w:sz w:val="22"/>
                <w:lang w:eastAsia="es-MX"/>
              </w:rPr>
            </w:pPr>
            <w:r w:rsidRPr="0037267C">
              <w:rPr>
                <w:rFonts w:eastAsia="Times New Roman"/>
                <w:b/>
                <w:sz w:val="22"/>
                <w:szCs w:val="22"/>
                <w:lang w:eastAsia="es-MX"/>
              </w:rPr>
              <w:t>DIP. INGRID DEL PILAR SANTOS DÍAZ</w:t>
            </w:r>
          </w:p>
        </w:tc>
      </w:tr>
    </w:tbl>
    <w:p w14:paraId="7C10CAFD" w14:textId="77777777" w:rsidR="00973E41" w:rsidRDefault="00973E41" w:rsidP="00973E41">
      <w:pPr>
        <w:spacing w:after="0" w:line="240" w:lineRule="auto"/>
        <w:ind w:firstLine="708"/>
        <w:jc w:val="both"/>
        <w:rPr>
          <w:rFonts w:ascii="Arial" w:eastAsia="Arial" w:hAnsi="Arial" w:cs="Arial"/>
          <w:sz w:val="24"/>
          <w:szCs w:val="24"/>
        </w:rPr>
      </w:pPr>
    </w:p>
    <w:p w14:paraId="3E1ACE57" w14:textId="77777777" w:rsidR="0037267C" w:rsidRDefault="0037267C" w:rsidP="00010798">
      <w:pPr>
        <w:spacing w:after="0" w:line="240" w:lineRule="auto"/>
        <w:ind w:left="567" w:hanging="567"/>
        <w:jc w:val="center"/>
        <w:rPr>
          <w:rFonts w:ascii="Arial" w:eastAsia="Arial" w:hAnsi="Arial" w:cs="Arial"/>
          <w:b/>
          <w:sz w:val="24"/>
          <w:szCs w:val="24"/>
        </w:rPr>
      </w:pPr>
    </w:p>
    <w:p w14:paraId="256AA5BE" w14:textId="77777777" w:rsidR="0037267C" w:rsidRDefault="0037267C" w:rsidP="00010798">
      <w:pPr>
        <w:spacing w:after="0" w:line="240" w:lineRule="auto"/>
        <w:ind w:left="567" w:hanging="567"/>
        <w:jc w:val="center"/>
        <w:rPr>
          <w:rFonts w:ascii="Arial" w:eastAsia="Arial" w:hAnsi="Arial" w:cs="Arial"/>
          <w:b/>
          <w:sz w:val="24"/>
          <w:szCs w:val="24"/>
        </w:rPr>
      </w:pPr>
    </w:p>
    <w:p w14:paraId="07651E1A" w14:textId="77777777" w:rsidR="0037267C" w:rsidRDefault="0037267C" w:rsidP="00010798">
      <w:pPr>
        <w:spacing w:after="0" w:line="240" w:lineRule="auto"/>
        <w:ind w:left="567" w:hanging="567"/>
        <w:jc w:val="center"/>
        <w:rPr>
          <w:rFonts w:ascii="Arial" w:eastAsia="Arial" w:hAnsi="Arial" w:cs="Arial"/>
          <w:b/>
          <w:sz w:val="24"/>
          <w:szCs w:val="24"/>
        </w:rPr>
      </w:pPr>
    </w:p>
    <w:p w14:paraId="7B3C136A" w14:textId="6D48F363" w:rsidR="00010798" w:rsidRDefault="0037267C" w:rsidP="00010798">
      <w:pPr>
        <w:spacing w:after="0" w:line="240" w:lineRule="auto"/>
        <w:ind w:left="567" w:hanging="567"/>
        <w:jc w:val="center"/>
        <w:rPr>
          <w:rFonts w:ascii="Arial" w:eastAsia="Arial" w:hAnsi="Arial" w:cs="Arial"/>
          <w:b/>
          <w:sz w:val="24"/>
          <w:szCs w:val="24"/>
        </w:rPr>
      </w:pPr>
      <w:r>
        <w:rPr>
          <w:rFonts w:ascii="Arial" w:eastAsia="Arial" w:hAnsi="Arial" w:cs="Arial"/>
          <w:b/>
          <w:sz w:val="24"/>
          <w:szCs w:val="24"/>
        </w:rPr>
        <w:t>Diputadas y Diputados i</w:t>
      </w:r>
      <w:r w:rsidR="00010798">
        <w:rPr>
          <w:rFonts w:ascii="Arial" w:eastAsia="Arial" w:hAnsi="Arial" w:cs="Arial"/>
          <w:b/>
          <w:sz w:val="24"/>
          <w:szCs w:val="24"/>
        </w:rPr>
        <w:t>ntegrante</w:t>
      </w:r>
      <w:r>
        <w:rPr>
          <w:rFonts w:ascii="Arial" w:eastAsia="Arial" w:hAnsi="Arial" w:cs="Arial"/>
          <w:b/>
          <w:sz w:val="24"/>
          <w:szCs w:val="24"/>
        </w:rPr>
        <w:t>s</w:t>
      </w:r>
      <w:r w:rsidR="00010798">
        <w:rPr>
          <w:rFonts w:ascii="Arial" w:eastAsia="Arial" w:hAnsi="Arial" w:cs="Arial"/>
          <w:b/>
          <w:sz w:val="24"/>
          <w:szCs w:val="24"/>
        </w:rPr>
        <w:t xml:space="preserve"> de la Fracción Legislativa del Partido Acción Nacional de la LX</w:t>
      </w:r>
      <w:r>
        <w:rPr>
          <w:rFonts w:ascii="Arial" w:eastAsia="Arial" w:hAnsi="Arial" w:cs="Arial"/>
          <w:b/>
          <w:sz w:val="24"/>
          <w:szCs w:val="24"/>
        </w:rPr>
        <w:t>I</w:t>
      </w:r>
      <w:r w:rsidR="00010798">
        <w:rPr>
          <w:rFonts w:ascii="Arial" w:eastAsia="Arial" w:hAnsi="Arial" w:cs="Arial"/>
          <w:b/>
          <w:sz w:val="24"/>
          <w:szCs w:val="24"/>
        </w:rPr>
        <w:t xml:space="preserve">II Legislatura del Estado de Yucatán. </w:t>
      </w:r>
    </w:p>
    <w:p w14:paraId="00000017" w14:textId="77777777" w:rsidR="00C5710E" w:rsidRDefault="00C5710E">
      <w:pPr>
        <w:spacing w:before="280" w:after="280" w:line="360" w:lineRule="auto"/>
        <w:jc w:val="both"/>
        <w:rPr>
          <w:rFonts w:ascii="Arial" w:eastAsia="Arial" w:hAnsi="Arial" w:cs="Arial"/>
          <w:sz w:val="24"/>
          <w:szCs w:val="24"/>
        </w:rPr>
      </w:pPr>
    </w:p>
    <w:p w14:paraId="00000020" w14:textId="77777777" w:rsidR="00C5710E" w:rsidRDefault="00C5710E">
      <w:pPr>
        <w:spacing w:before="280" w:after="280" w:line="360" w:lineRule="auto"/>
        <w:jc w:val="both"/>
        <w:rPr>
          <w:rFonts w:ascii="Arial" w:eastAsia="Arial" w:hAnsi="Arial" w:cs="Arial"/>
          <w:sz w:val="24"/>
          <w:szCs w:val="24"/>
        </w:rPr>
      </w:pPr>
    </w:p>
    <w:p w14:paraId="7E01E06F" w14:textId="77777777" w:rsidR="008F3E41" w:rsidRDefault="008F3E41">
      <w:pPr>
        <w:spacing w:before="280" w:after="280" w:line="360" w:lineRule="auto"/>
        <w:jc w:val="both"/>
        <w:rPr>
          <w:rFonts w:ascii="Arial" w:eastAsia="Arial" w:hAnsi="Arial" w:cs="Arial"/>
          <w:sz w:val="24"/>
          <w:szCs w:val="24"/>
        </w:rPr>
      </w:pPr>
    </w:p>
    <w:p w14:paraId="290BEE99" w14:textId="77777777" w:rsidR="008F3E41" w:rsidRDefault="008F3E41">
      <w:pPr>
        <w:spacing w:before="280" w:after="280" w:line="360" w:lineRule="auto"/>
        <w:jc w:val="both"/>
        <w:rPr>
          <w:rFonts w:ascii="Arial" w:eastAsia="Arial" w:hAnsi="Arial" w:cs="Arial"/>
          <w:sz w:val="24"/>
          <w:szCs w:val="24"/>
        </w:rPr>
      </w:pPr>
    </w:p>
    <w:p w14:paraId="49CD2931" w14:textId="77777777" w:rsidR="008F3E41" w:rsidRDefault="008F3E41">
      <w:pPr>
        <w:spacing w:before="280" w:after="280" w:line="360" w:lineRule="auto"/>
        <w:jc w:val="both"/>
        <w:rPr>
          <w:rFonts w:ascii="Arial" w:eastAsia="Arial" w:hAnsi="Arial" w:cs="Arial"/>
          <w:sz w:val="24"/>
          <w:szCs w:val="24"/>
        </w:rPr>
      </w:pPr>
    </w:p>
    <w:p w14:paraId="5EB20CD3" w14:textId="77777777" w:rsidR="008F3E41" w:rsidRDefault="008F3E41">
      <w:pPr>
        <w:spacing w:before="280" w:after="280" w:line="360" w:lineRule="auto"/>
        <w:jc w:val="both"/>
        <w:rPr>
          <w:rFonts w:ascii="Arial" w:eastAsia="Arial" w:hAnsi="Arial" w:cs="Arial"/>
          <w:sz w:val="24"/>
          <w:szCs w:val="24"/>
        </w:rPr>
      </w:pPr>
    </w:p>
    <w:p w14:paraId="6FA2D430" w14:textId="77777777" w:rsidR="008F3E41" w:rsidRDefault="008F3E41">
      <w:pPr>
        <w:spacing w:before="280" w:after="280" w:line="360" w:lineRule="auto"/>
        <w:jc w:val="both"/>
        <w:rPr>
          <w:rFonts w:ascii="Arial" w:eastAsia="Arial" w:hAnsi="Arial" w:cs="Arial"/>
          <w:sz w:val="24"/>
          <w:szCs w:val="24"/>
        </w:rPr>
      </w:pPr>
    </w:p>
    <w:p w14:paraId="54B337F6" w14:textId="73F9E9BC" w:rsidR="008F3E41" w:rsidRPr="008F3E41" w:rsidRDefault="008F3E41" w:rsidP="008F3E41">
      <w:pPr>
        <w:spacing w:before="280" w:after="280" w:line="240" w:lineRule="auto"/>
        <w:jc w:val="both"/>
        <w:rPr>
          <w:rFonts w:ascii="Arial" w:eastAsia="Arial" w:hAnsi="Arial" w:cs="Arial"/>
          <w:i/>
          <w:sz w:val="20"/>
          <w:szCs w:val="24"/>
        </w:rPr>
      </w:pPr>
      <w:r>
        <w:rPr>
          <w:rFonts w:ascii="Arial" w:eastAsia="Arial" w:hAnsi="Arial" w:cs="Arial"/>
          <w:i/>
          <w:sz w:val="20"/>
          <w:szCs w:val="24"/>
        </w:rPr>
        <w:t xml:space="preserve">“Esta hoja de firmas pertenece a la </w:t>
      </w:r>
      <w:r w:rsidRPr="008F3E41">
        <w:rPr>
          <w:rFonts w:ascii="Arial" w:eastAsia="Arial" w:hAnsi="Arial" w:cs="Arial"/>
          <w:i/>
          <w:sz w:val="20"/>
          <w:szCs w:val="24"/>
        </w:rPr>
        <w:t>Iniciativa con proyecto de decreto por el que se reforma la Ley de Gobierno de los Municipios del Estado de Yucatán, en materia de Asesores Municipales</w:t>
      </w:r>
      <w:r>
        <w:rPr>
          <w:rFonts w:ascii="Arial" w:eastAsia="Arial" w:hAnsi="Arial" w:cs="Arial"/>
          <w:i/>
          <w:sz w:val="20"/>
          <w:szCs w:val="24"/>
        </w:rPr>
        <w:t>”.</w:t>
      </w:r>
    </w:p>
    <w:sectPr w:rsidR="008F3E41" w:rsidRPr="008F3E41">
      <w:footerReference w:type="default" r:id="rId6"/>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A819DA" w14:textId="77777777" w:rsidR="00EA1477" w:rsidRDefault="00EA1477" w:rsidP="00C83F38">
      <w:pPr>
        <w:spacing w:after="0" w:line="240" w:lineRule="auto"/>
      </w:pPr>
      <w:r>
        <w:separator/>
      </w:r>
    </w:p>
  </w:endnote>
  <w:endnote w:type="continuationSeparator" w:id="0">
    <w:p w14:paraId="1C302124" w14:textId="77777777" w:rsidR="00EA1477" w:rsidRDefault="00EA1477" w:rsidP="00C83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8305857"/>
      <w:docPartObj>
        <w:docPartGallery w:val="Page Numbers (Bottom of Page)"/>
        <w:docPartUnique/>
      </w:docPartObj>
    </w:sdtPr>
    <w:sdtEndPr/>
    <w:sdtContent>
      <w:p w14:paraId="5A2A2C6A" w14:textId="7D695934" w:rsidR="00C83F38" w:rsidRDefault="00C83F38">
        <w:pPr>
          <w:pStyle w:val="Piedepgina"/>
          <w:jc w:val="right"/>
        </w:pPr>
        <w:r>
          <w:fldChar w:fldCharType="begin"/>
        </w:r>
        <w:r>
          <w:instrText>PAGE   \* MERGEFORMAT</w:instrText>
        </w:r>
        <w:r>
          <w:fldChar w:fldCharType="separate"/>
        </w:r>
        <w:r w:rsidR="006B0EA0" w:rsidRPr="006B0EA0">
          <w:rPr>
            <w:noProof/>
            <w:lang w:val="es-ES"/>
          </w:rPr>
          <w:t>4</w:t>
        </w:r>
        <w:r>
          <w:fldChar w:fldCharType="end"/>
        </w:r>
      </w:p>
    </w:sdtContent>
  </w:sdt>
  <w:p w14:paraId="5B307B8A" w14:textId="77777777" w:rsidR="00C83F38" w:rsidRDefault="00C83F3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0D0E5" w14:textId="77777777" w:rsidR="00EA1477" w:rsidRDefault="00EA1477" w:rsidP="00C83F38">
      <w:pPr>
        <w:spacing w:after="0" w:line="240" w:lineRule="auto"/>
      </w:pPr>
      <w:r>
        <w:separator/>
      </w:r>
    </w:p>
  </w:footnote>
  <w:footnote w:type="continuationSeparator" w:id="0">
    <w:p w14:paraId="433A8F0D" w14:textId="77777777" w:rsidR="00EA1477" w:rsidRDefault="00EA1477" w:rsidP="00C83F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10E"/>
    <w:rsid w:val="00010798"/>
    <w:rsid w:val="00010847"/>
    <w:rsid w:val="000D1856"/>
    <w:rsid w:val="00113D0E"/>
    <w:rsid w:val="00271539"/>
    <w:rsid w:val="0037267C"/>
    <w:rsid w:val="00417A60"/>
    <w:rsid w:val="00421E68"/>
    <w:rsid w:val="00537DE7"/>
    <w:rsid w:val="00540AE8"/>
    <w:rsid w:val="00554420"/>
    <w:rsid w:val="005B3E27"/>
    <w:rsid w:val="005E5BA4"/>
    <w:rsid w:val="006650EA"/>
    <w:rsid w:val="006B0EA0"/>
    <w:rsid w:val="00722931"/>
    <w:rsid w:val="007B7055"/>
    <w:rsid w:val="008C2861"/>
    <w:rsid w:val="008F3E41"/>
    <w:rsid w:val="00973E41"/>
    <w:rsid w:val="00C51824"/>
    <w:rsid w:val="00C5710E"/>
    <w:rsid w:val="00C83F38"/>
    <w:rsid w:val="00D80C58"/>
    <w:rsid w:val="00DD0087"/>
    <w:rsid w:val="00DD35D0"/>
    <w:rsid w:val="00E662F1"/>
    <w:rsid w:val="00EA1477"/>
    <w:rsid w:val="00EC0F66"/>
    <w:rsid w:val="00EE1AD8"/>
    <w:rsid w:val="00F258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7F9CBF-9D45-460F-82F4-214820756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C83F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3F38"/>
  </w:style>
  <w:style w:type="paragraph" w:styleId="Piedepgina">
    <w:name w:val="footer"/>
    <w:basedOn w:val="Normal"/>
    <w:link w:val="PiedepginaCar"/>
    <w:uiPriority w:val="99"/>
    <w:unhideWhenUsed/>
    <w:rsid w:val="00C83F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3F38"/>
  </w:style>
  <w:style w:type="paragraph" w:styleId="Textodeglobo">
    <w:name w:val="Balloon Text"/>
    <w:basedOn w:val="Normal"/>
    <w:link w:val="TextodegloboCar"/>
    <w:uiPriority w:val="99"/>
    <w:semiHidden/>
    <w:unhideWhenUsed/>
    <w:rsid w:val="00C518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1824"/>
    <w:rPr>
      <w:rFonts w:ascii="Segoe UI" w:hAnsi="Segoe UI" w:cs="Segoe UI"/>
      <w:sz w:val="18"/>
      <w:szCs w:val="18"/>
    </w:rPr>
  </w:style>
  <w:style w:type="table" w:styleId="Tablaconcuadrcula">
    <w:name w:val="Table Grid"/>
    <w:basedOn w:val="Tablanormal"/>
    <w:uiPriority w:val="39"/>
    <w:rsid w:val="00D80C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normal1">
    <w:name w:val="Plain Table 1"/>
    <w:basedOn w:val="Tablanormal"/>
    <w:uiPriority w:val="41"/>
    <w:rsid w:val="00D80C58"/>
    <w:pPr>
      <w:spacing w:after="0" w:line="240" w:lineRule="auto"/>
    </w:pPr>
    <w:rPr>
      <w:rFonts w:ascii="Arial" w:eastAsiaTheme="minorHAnsi" w:hAnsi="Arial" w:cs="Arial"/>
      <w:sz w:val="20"/>
      <w:szCs w:val="20"/>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2122</Words>
  <Characters>11674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Secretario General</dc:creator>
  <cp:lastModifiedBy>Cuenta Microsoft</cp:lastModifiedBy>
  <cp:revision>2</cp:revision>
  <cp:lastPrinted>2021-11-24T14:41:00Z</cp:lastPrinted>
  <dcterms:created xsi:type="dcterms:W3CDTF">2021-11-24T14:42:00Z</dcterms:created>
  <dcterms:modified xsi:type="dcterms:W3CDTF">2021-11-24T14:42:00Z</dcterms:modified>
</cp:coreProperties>
</file>